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9" w:rsidRPr="00FD0092" w:rsidRDefault="002D2C99" w:rsidP="00FD0092">
      <w:pPr>
        <w:jc w:val="center"/>
        <w:rPr>
          <w:lang w:val="fr-FR"/>
        </w:rPr>
      </w:pPr>
    </w:p>
    <w:p w:rsidR="00533A76" w:rsidRPr="00FD0092" w:rsidRDefault="00533A76" w:rsidP="00FD0092">
      <w:pPr>
        <w:jc w:val="center"/>
        <w:rPr>
          <w:lang w:val="fr-FR"/>
        </w:rPr>
      </w:pPr>
    </w:p>
    <w:p w:rsidR="002D2C99" w:rsidRPr="00FD0092" w:rsidRDefault="00D64D5F" w:rsidP="00FD0092">
      <w:pPr>
        <w:tabs>
          <w:tab w:val="left" w:pos="5529"/>
        </w:tabs>
        <w:jc w:val="center"/>
        <w:rPr>
          <w:lang w:val="fr-FR"/>
        </w:rPr>
      </w:pPr>
      <w:r w:rsidRPr="00FD0092">
        <w:rPr>
          <w:lang w:val="fr-FR"/>
        </w:rPr>
        <w:t>QUATRIÈME SECTION</w:t>
      </w: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b/>
          <w:lang w:val="fr-FR"/>
        </w:rPr>
      </w:pPr>
      <w:r w:rsidRPr="00FD0092">
        <w:rPr>
          <w:b/>
          <w:lang w:val="fr-FR"/>
        </w:rPr>
        <w:t xml:space="preserve">AFFAIRE </w:t>
      </w:r>
      <w:r w:rsidR="00D64D5F" w:rsidRPr="00FD0092">
        <w:rPr>
          <w:b/>
          <w:lang w:val="fr-FR"/>
        </w:rPr>
        <w:t>MONGELLI ET AUTRES c. ITALIE</w:t>
      </w: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i/>
          <w:lang w:val="fr-FR"/>
        </w:rPr>
      </w:pPr>
      <w:r w:rsidRPr="00FD0092">
        <w:rPr>
          <w:i/>
          <w:lang w:val="fr-FR"/>
        </w:rPr>
        <w:t>(Requête n</w:t>
      </w:r>
      <w:r w:rsidRPr="00FD0092">
        <w:rPr>
          <w:i/>
          <w:vertAlign w:val="superscript"/>
          <w:lang w:val="fr-FR"/>
        </w:rPr>
        <w:t>o</w:t>
      </w:r>
      <w:r w:rsidRPr="00FD0092">
        <w:rPr>
          <w:i/>
          <w:lang w:val="fr-FR"/>
        </w:rPr>
        <w:t xml:space="preserve"> </w:t>
      </w:r>
      <w:r w:rsidR="00D64D5F" w:rsidRPr="00FD0092">
        <w:rPr>
          <w:i/>
          <w:lang w:val="fr-FR"/>
        </w:rPr>
        <w:t>40205/02</w:t>
      </w:r>
      <w:r w:rsidRPr="00FD0092">
        <w:rPr>
          <w:i/>
          <w:lang w:val="fr-FR"/>
        </w:rPr>
        <w:t>)</w:t>
      </w: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  <w:r w:rsidRPr="00FD0092">
        <w:rPr>
          <w:lang w:val="fr-FR"/>
        </w:rPr>
        <w:t>ARRÊT</w:t>
      </w: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i/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  <w:r w:rsidRPr="00FD0092">
        <w:rPr>
          <w:lang w:val="fr-FR"/>
        </w:rPr>
        <w:t>STRASBOURG</w:t>
      </w: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D64D5F" w:rsidP="00FD0092">
      <w:pPr>
        <w:jc w:val="center"/>
        <w:rPr>
          <w:lang w:val="fr-FR"/>
        </w:rPr>
      </w:pPr>
      <w:r w:rsidRPr="00FD0092">
        <w:rPr>
          <w:lang w:val="fr-FR"/>
        </w:rPr>
        <w:t>19 mai 2015</w:t>
      </w:r>
    </w:p>
    <w:p w:rsidR="002D2C99" w:rsidRPr="00FD0092" w:rsidRDefault="002D2C99" w:rsidP="00FD0092">
      <w:pPr>
        <w:jc w:val="center"/>
        <w:rPr>
          <w:lang w:val="fr-FR"/>
        </w:rPr>
      </w:pPr>
    </w:p>
    <w:p w:rsidR="002D2C99" w:rsidRPr="00FD0092" w:rsidRDefault="002D2C99" w:rsidP="00FD0092">
      <w:pPr>
        <w:jc w:val="center"/>
        <w:rPr>
          <w:lang w:val="fr-FR"/>
        </w:rPr>
      </w:pPr>
    </w:p>
    <w:p w:rsidR="00054D21" w:rsidRPr="00FD0092" w:rsidRDefault="00054D21" w:rsidP="00FD0092">
      <w:pPr>
        <w:jc w:val="center"/>
        <w:rPr>
          <w:lang w:val="fr-FR"/>
        </w:rPr>
      </w:pPr>
    </w:p>
    <w:p w:rsidR="00054D21" w:rsidRPr="00FD0092" w:rsidRDefault="00054D21" w:rsidP="00FD0092">
      <w:pPr>
        <w:jc w:val="center"/>
        <w:rPr>
          <w:lang w:val="fr-FR"/>
        </w:rPr>
      </w:pPr>
    </w:p>
    <w:p w:rsidR="00054D21" w:rsidRPr="00FD0092" w:rsidRDefault="00054D21" w:rsidP="00FD0092">
      <w:pPr>
        <w:jc w:val="center"/>
        <w:rPr>
          <w:lang w:val="fr-FR"/>
        </w:rPr>
      </w:pPr>
    </w:p>
    <w:p w:rsidR="00054D21" w:rsidRPr="00FD0092" w:rsidRDefault="002D2C99" w:rsidP="00FD0092">
      <w:pPr>
        <w:jc w:val="left"/>
        <w:rPr>
          <w:i/>
          <w:sz w:val="22"/>
          <w:lang w:val="fr-FR"/>
        </w:rPr>
      </w:pPr>
      <w:r w:rsidRPr="00FD0092">
        <w:rPr>
          <w:i/>
          <w:sz w:val="22"/>
          <w:lang w:val="fr-FR"/>
        </w:rPr>
        <w:t xml:space="preserve">Cet arrêt </w:t>
      </w:r>
      <w:r w:rsidR="00D64D5F" w:rsidRPr="00FD0092">
        <w:rPr>
          <w:i/>
          <w:sz w:val="22"/>
          <w:lang w:val="fr-FR"/>
        </w:rPr>
        <w:t>est définitif</w:t>
      </w:r>
      <w:r w:rsidRPr="00FD0092">
        <w:rPr>
          <w:i/>
          <w:sz w:val="22"/>
          <w:lang w:val="fr-FR"/>
        </w:rPr>
        <w:t>. Il peut subir des retouches de forme.</w:t>
      </w:r>
    </w:p>
    <w:p w:rsidR="002D2C99" w:rsidRPr="00FD0092" w:rsidRDefault="002D2C99" w:rsidP="00FD0092">
      <w:pPr>
        <w:rPr>
          <w:lang w:val="fr-FR"/>
        </w:rPr>
        <w:sectPr w:rsidR="002D2C99" w:rsidRPr="00FD0092" w:rsidSect="00F5432B">
          <w:headerReference w:type="default" r:id="rId9"/>
          <w:footerReference w:type="default" r:id="rId10"/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2D2C99" w:rsidRPr="00FD0092" w:rsidRDefault="002D2C99" w:rsidP="00FD0092">
      <w:pPr>
        <w:pStyle w:val="JuCase"/>
        <w:rPr>
          <w:lang w:val="fr-FR"/>
        </w:rPr>
      </w:pPr>
      <w:r w:rsidRPr="00FD0092">
        <w:rPr>
          <w:lang w:val="fr-FR"/>
        </w:rPr>
        <w:t>En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affaire </w:t>
      </w:r>
      <w:r w:rsidR="00D64D5F" w:rsidRPr="00FD0092">
        <w:rPr>
          <w:lang w:val="fr-FR"/>
        </w:rPr>
        <w:t>Mongelli et autres c. Italie</w:t>
      </w:r>
      <w:r w:rsidRPr="00FD0092">
        <w:rPr>
          <w:lang w:val="fr-FR"/>
        </w:rPr>
        <w:t>,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t>La Cour européenne des droits de l</w:t>
      </w:r>
      <w:r w:rsidR="00FD0092">
        <w:rPr>
          <w:lang w:val="fr-FR"/>
        </w:rPr>
        <w:t>’</w:t>
      </w:r>
      <w:r w:rsidRPr="00FD0092">
        <w:rPr>
          <w:lang w:val="fr-FR"/>
        </w:rPr>
        <w:t>homme (quatrième section), siégeant en un comité composé de :</w:t>
      </w:r>
    </w:p>
    <w:p w:rsidR="00D64D5F" w:rsidRPr="00FD0092" w:rsidRDefault="00533A76" w:rsidP="00FD0092">
      <w:pPr>
        <w:pStyle w:val="ECHRDecisionBody"/>
        <w:rPr>
          <w:lang w:val="fr-FR"/>
        </w:rPr>
      </w:pPr>
      <w:r w:rsidRPr="00FD0092">
        <w:rPr>
          <w:lang w:val="fr-FR"/>
        </w:rPr>
        <w:tab/>
        <w:t>Päivi Hirvelä,</w:t>
      </w:r>
      <w:r w:rsidRPr="00FD0092">
        <w:rPr>
          <w:i/>
          <w:lang w:val="fr-FR"/>
        </w:rPr>
        <w:t xml:space="preserve"> présidente,</w:t>
      </w:r>
      <w:r w:rsidRPr="00FD0092">
        <w:rPr>
          <w:i/>
          <w:lang w:val="fr-FR"/>
        </w:rPr>
        <w:br/>
      </w:r>
      <w:r w:rsidRPr="00FD0092">
        <w:rPr>
          <w:lang w:val="fr-FR"/>
        </w:rPr>
        <w:tab/>
        <w:t>Ledi Bianku,</w:t>
      </w:r>
      <w:r w:rsidRPr="00FD0092">
        <w:rPr>
          <w:i/>
          <w:lang w:val="fr-FR"/>
        </w:rPr>
        <w:br/>
      </w:r>
      <w:r w:rsidRPr="00FD0092">
        <w:rPr>
          <w:lang w:val="fr-FR"/>
        </w:rPr>
        <w:tab/>
        <w:t>Nona Tsotsoria,</w:t>
      </w:r>
      <w:r w:rsidRPr="00FD0092">
        <w:rPr>
          <w:i/>
          <w:lang w:val="fr-FR"/>
        </w:rPr>
        <w:t xml:space="preserve"> juges,</w:t>
      </w:r>
      <w:r w:rsidR="00D64D5F" w:rsidRPr="00FD0092">
        <w:rPr>
          <w:lang w:val="fr-FR"/>
        </w:rPr>
        <w:br/>
        <w:t xml:space="preserve">et de Fatoş Aracı, </w:t>
      </w:r>
      <w:r w:rsidR="00D64D5F" w:rsidRPr="00FD0092">
        <w:rPr>
          <w:i/>
          <w:lang w:val="fr-FR"/>
        </w:rPr>
        <w:t>greffière adjointe</w:t>
      </w:r>
      <w:r w:rsidR="00D64D5F" w:rsidRPr="00FD0092">
        <w:rPr>
          <w:iCs/>
          <w:lang w:val="fr-FR"/>
        </w:rPr>
        <w:t xml:space="preserve"> </w:t>
      </w:r>
      <w:r w:rsidR="00D64D5F" w:rsidRPr="00FD0092">
        <w:rPr>
          <w:i/>
          <w:iCs/>
          <w:lang w:val="fr-FR"/>
        </w:rPr>
        <w:t>d</w:t>
      </w:r>
      <w:r w:rsidR="00D64D5F" w:rsidRPr="00FD0092">
        <w:rPr>
          <w:i/>
          <w:lang w:val="fr-FR"/>
        </w:rPr>
        <w:t>e section</w:t>
      </w:r>
      <w:r w:rsidR="00D64D5F" w:rsidRPr="00FD0092">
        <w:rPr>
          <w:lang w:val="fr-FR"/>
        </w:rPr>
        <w:t>,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t xml:space="preserve">Après en avoir délibéré en chambre du conseil le </w:t>
      </w:r>
      <w:r w:rsidR="00533A76" w:rsidRPr="00FD0092">
        <w:rPr>
          <w:lang w:val="fr-FR"/>
        </w:rPr>
        <w:t>21 avril 2015</w:t>
      </w:r>
      <w:r w:rsidRPr="00FD0092">
        <w:rPr>
          <w:lang w:val="fr-FR"/>
        </w:rPr>
        <w:t>,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t>Rend l</w:t>
      </w:r>
      <w:r w:rsidR="00FD0092">
        <w:rPr>
          <w:lang w:val="fr-FR"/>
        </w:rPr>
        <w:t>’</w:t>
      </w:r>
      <w:r w:rsidRPr="00FD0092">
        <w:rPr>
          <w:lang w:val="fr-FR"/>
        </w:rPr>
        <w:t>arrêt que voici, adopté à cette date :</w:t>
      </w:r>
    </w:p>
    <w:p w:rsidR="00D64D5F" w:rsidRPr="00FD0092" w:rsidRDefault="00D64D5F" w:rsidP="00FD0092">
      <w:pPr>
        <w:pStyle w:val="ECHRTitle1"/>
        <w:rPr>
          <w:lang w:val="fr-FR"/>
        </w:rPr>
      </w:pPr>
      <w:r w:rsidRPr="00FD0092">
        <w:rPr>
          <w:lang w:val="fr-FR"/>
        </w:rPr>
        <w:t>PROCÉDURE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1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À l</w:t>
      </w:r>
      <w:r w:rsidR="00FD0092">
        <w:rPr>
          <w:lang w:val="fr-FR"/>
        </w:rPr>
        <w:t>’</w:t>
      </w:r>
      <w:r w:rsidRPr="00FD0092">
        <w:rPr>
          <w:lang w:val="fr-FR"/>
        </w:rPr>
        <w:t>origine de l</w:t>
      </w:r>
      <w:r w:rsidR="00FD0092">
        <w:rPr>
          <w:lang w:val="fr-FR"/>
        </w:rPr>
        <w:t>’</w:t>
      </w:r>
      <w:r w:rsidRPr="00FD0092">
        <w:rPr>
          <w:lang w:val="fr-FR"/>
        </w:rPr>
        <w:t>affaire se trouve une requête (n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40205/02) dirigée contre la République italienne et dont 7 ressortissants de cet État, MM. Giuseppe, Francesco di Paola Maria, Concetta, Gaetano Maria Innocenzo, Concetta Maria Mongelli, Giovanna Severino et Lucia Scichilone sont des ressortissants italiens (« les requéra</w:t>
      </w:r>
      <w:r w:rsidR="00972295" w:rsidRPr="00FD0092">
        <w:rPr>
          <w:lang w:val="fr-FR"/>
        </w:rPr>
        <w:t>nts »), ont saisi la Cour le 28 </w:t>
      </w:r>
      <w:r w:rsidRPr="00FD0092">
        <w:rPr>
          <w:lang w:val="fr-FR"/>
        </w:rPr>
        <w:t>octobre 2002 en vertu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34 de la Convention de sauvegarde des droits de l</w:t>
      </w:r>
      <w:r w:rsidR="00FD0092">
        <w:rPr>
          <w:lang w:val="fr-FR"/>
        </w:rPr>
        <w:t>’</w:t>
      </w:r>
      <w:r w:rsidRPr="00FD0092">
        <w:rPr>
          <w:lang w:val="fr-FR"/>
        </w:rPr>
        <w:t>homme et des libertés fondamentales (« la Convention »).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2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Les requérants ont été représentés par M</w:t>
      </w:r>
      <w:r w:rsidRPr="00FD0092">
        <w:rPr>
          <w:vertAlign w:val="superscript"/>
          <w:lang w:val="fr-FR"/>
        </w:rPr>
        <w:t>e</w:t>
      </w:r>
      <w:r w:rsidRPr="00FD0092">
        <w:rPr>
          <w:lang w:val="fr-FR"/>
        </w:rPr>
        <w:t> A. Anfuso Alberghina, avocat à Caltagirone. Le gouvernement italien (« le Gouvernement ») a été représenté par son agent, M</w:t>
      </w:r>
      <w:r w:rsidRPr="00FD0092">
        <w:rPr>
          <w:vertAlign w:val="superscript"/>
          <w:lang w:val="fr-FR"/>
        </w:rPr>
        <w:t>me</w:t>
      </w:r>
      <w:r w:rsidRPr="00FD0092">
        <w:rPr>
          <w:lang w:val="fr-FR"/>
        </w:rPr>
        <w:t xml:space="preserve"> E. Spatafora, son ancien coagent M. N. Lettieri, et sa coagente M</w:t>
      </w:r>
      <w:r w:rsidRPr="00FD0092">
        <w:rPr>
          <w:vertAlign w:val="superscript"/>
          <w:lang w:val="fr-FR"/>
        </w:rPr>
        <w:t>me </w:t>
      </w:r>
      <w:r w:rsidRPr="00FD0092">
        <w:rPr>
          <w:lang w:val="fr-FR"/>
        </w:rPr>
        <w:t>P. Accardo.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3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 xml:space="preserve">.  Le </w:t>
      </w:r>
      <w:r w:rsidRPr="00FD0092">
        <w:rPr>
          <w:szCs w:val="24"/>
          <w:lang w:val="fr-FR"/>
        </w:rPr>
        <w:t>30 mars 2009</w:t>
      </w:r>
      <w:r w:rsidRPr="00FD0092">
        <w:rPr>
          <w:lang w:val="fr-FR"/>
        </w:rPr>
        <w:t>, la requête a été communiquée au Gouvernement.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it-IT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it-IT"/>
        </w:rPr>
        <w:fldChar w:fldCharType="separate"/>
      </w:r>
      <w:r w:rsidR="00E47277">
        <w:rPr>
          <w:noProof/>
          <w:lang w:val="fr-FR"/>
        </w:rPr>
        <w:t>4</w:t>
      </w:r>
      <w:r w:rsidRPr="00FD0092">
        <w:rPr>
          <w:lang w:val="it-IT"/>
        </w:rPr>
        <w:fldChar w:fldCharType="end"/>
      </w:r>
      <w:r w:rsidRPr="00FD0092">
        <w:rPr>
          <w:lang w:val="fr-FR"/>
        </w:rPr>
        <w:t>.  Le 12 février 2007, M</w:t>
      </w:r>
      <w:r w:rsidRPr="00FD0092">
        <w:rPr>
          <w:vertAlign w:val="superscript"/>
          <w:lang w:val="fr-FR"/>
        </w:rPr>
        <w:t xml:space="preserve">. </w:t>
      </w:r>
      <w:r w:rsidRPr="00FD0092">
        <w:rPr>
          <w:lang w:val="fr-FR"/>
        </w:rPr>
        <w:t>Giuseppe Mongelli décéda.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5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 15 janvier 2009, M</w:t>
      </w:r>
      <w:r w:rsidRPr="00FD0092">
        <w:rPr>
          <w:vertAlign w:val="superscript"/>
          <w:lang w:val="fr-FR"/>
        </w:rPr>
        <w:t>me</w:t>
      </w:r>
      <w:r w:rsidRPr="00FD0092">
        <w:rPr>
          <w:lang w:val="fr-FR"/>
        </w:rPr>
        <w:t xml:space="preserve"> Lucia Scichilone décéda.</w:t>
      </w:r>
    </w:p>
    <w:p w:rsidR="00D64D5F" w:rsidRPr="00FD0092" w:rsidRDefault="00D64D5F" w:rsidP="00FD0092">
      <w:pPr>
        <w:pStyle w:val="ECHRTitle1"/>
        <w:rPr>
          <w:lang w:val="fr-FR"/>
        </w:rPr>
      </w:pPr>
      <w:r w:rsidRPr="00FD0092">
        <w:rPr>
          <w:lang w:val="fr-FR"/>
        </w:rPr>
        <w:t>EN FAIT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I.  LES CIRCONSTANCES DE L</w:t>
      </w:r>
      <w:r w:rsidR="00FD0092">
        <w:rPr>
          <w:lang w:val="fr-FR"/>
        </w:rPr>
        <w:t>’</w:t>
      </w:r>
      <w:r w:rsidRPr="00FD0092">
        <w:rPr>
          <w:lang w:val="fr-FR"/>
        </w:rPr>
        <w:t>ESPÈCE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6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Les requérants sont nés respectivement en 1916, 1951, 1942, 1959, 1958, 1920, 1925 et résident à Niscemi.</w:t>
      </w:r>
    </w:p>
    <w:p w:rsidR="00D64D5F" w:rsidRPr="00FD0092" w:rsidRDefault="0079083E" w:rsidP="00FD0092">
      <w:pPr>
        <w:pStyle w:val="ECHRHeading2"/>
        <w:rPr>
          <w:lang w:val="fr-FR"/>
        </w:rPr>
      </w:pPr>
      <w:r w:rsidRPr="00FD0092">
        <w:rPr>
          <w:lang w:val="fr-FR"/>
        </w:rPr>
        <w:t>A</w:t>
      </w:r>
      <w:r w:rsidR="00D64D5F" w:rsidRPr="00FD0092">
        <w:rPr>
          <w:lang w:val="fr-FR"/>
        </w:rPr>
        <w:t>.</w:t>
      </w:r>
      <w:r w:rsidR="0023463B" w:rsidRPr="00FD0092">
        <w:rPr>
          <w:lang w:val="fr-FR" w:eastAsia="en-GB"/>
        </w:rPr>
        <w:t>  </w:t>
      </w:r>
      <w:r w:rsidR="00D64D5F" w:rsidRPr="00FD0092">
        <w:rPr>
          <w:lang w:val="fr-FR"/>
        </w:rPr>
        <w:t>L</w:t>
      </w:r>
      <w:r w:rsidR="00FD0092">
        <w:rPr>
          <w:lang w:val="fr-FR"/>
        </w:rPr>
        <w:t>’</w:t>
      </w:r>
      <w:r w:rsidR="00D64D5F" w:rsidRPr="00FD0092">
        <w:rPr>
          <w:lang w:val="fr-FR"/>
        </w:rPr>
        <w:t>occupation d</w:t>
      </w:r>
      <w:r w:rsidR="00FD0092">
        <w:rPr>
          <w:lang w:val="fr-FR"/>
        </w:rPr>
        <w:t>’</w:t>
      </w:r>
      <w:r w:rsidR="00D64D5F" w:rsidRPr="00FD0092">
        <w:rPr>
          <w:lang w:val="fr-FR"/>
        </w:rPr>
        <w:t>urgence du terrain et les procédures y relatives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7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Les requérants étaient propriétaires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un terrain sis à Niscemi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environ 16.000 mètres carrés.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8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 xml:space="preserve">.  Par deux arrêtés du 24 juin 1973 et du 5 avril 1977, la municipalité autorisa </w:t>
      </w:r>
      <w:r w:rsidRPr="00FD0092">
        <w:rPr>
          <w:lang w:val="fr-FR"/>
        </w:rPr>
        <w:t>l</w:t>
      </w:r>
      <w:r w:rsidR="00FD0092">
        <w:rPr>
          <w:lang w:val="fr-FR"/>
        </w:rPr>
        <w:t>’</w:t>
      </w:r>
      <w:r w:rsidRPr="00FD0092">
        <w:rPr>
          <w:lang w:val="fr-FR"/>
        </w:rPr>
        <w:t>occupation d</w:t>
      </w:r>
      <w:r w:rsidR="00FD0092">
        <w:rPr>
          <w:lang w:val="fr-FR"/>
        </w:rPr>
        <w:t>’</w:t>
      </w:r>
      <w:r w:rsidRPr="00FD0092">
        <w:rPr>
          <w:lang w:val="fr-FR"/>
        </w:rPr>
        <w:t>urgence d</w:t>
      </w:r>
      <w:r w:rsidR="00FD0092">
        <w:rPr>
          <w:lang w:val="fr-FR"/>
        </w:rPr>
        <w:t>’</w:t>
      </w:r>
      <w:r w:rsidRPr="00FD0092">
        <w:rPr>
          <w:lang w:val="fr-FR"/>
        </w:rPr>
        <w:t>une partie du terrain des requérants, pour une période maximale de cinq ans, en vue de son expropriation, pour permettre à l</w:t>
      </w:r>
      <w:r w:rsidR="00FD0092">
        <w:rPr>
          <w:lang w:val="fr-FR"/>
        </w:rPr>
        <w:t>’</w:t>
      </w:r>
      <w:bookmarkStart w:id="0" w:name="01000003"/>
      <w:bookmarkEnd w:id="0"/>
      <w:r w:rsidRPr="00FD0092">
        <w:rPr>
          <w:lang w:val="fr-FR"/>
        </w:rPr>
        <w:t>Institut autonome de gestion des HLM (« </w:t>
      </w:r>
      <w:bookmarkStart w:id="1" w:name="HIT1"/>
      <w:bookmarkEnd w:id="1"/>
      <w:r w:rsidRPr="00FD0092">
        <w:rPr>
          <w:lang w:val="fr-FR"/>
        </w:rPr>
        <w:t>IACP ») de procéder à la construction des habitations à loyer modéré.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9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 xml:space="preserve">.  Les requérants </w:t>
      </w:r>
      <w:r w:rsidRPr="00FD0092">
        <w:rPr>
          <w:lang w:val="fr-FR"/>
        </w:rPr>
        <w:t>introduisirent un recours devant le tribunal administratif de Catane (« T.A.R. »), faisant valoir que les arrêtés autorisant l</w:t>
      </w:r>
      <w:r w:rsidR="00FD0092">
        <w:rPr>
          <w:lang w:val="fr-FR"/>
        </w:rPr>
        <w:t>’</w:t>
      </w:r>
      <w:r w:rsidRPr="00FD0092">
        <w:rPr>
          <w:lang w:val="fr-FR"/>
        </w:rPr>
        <w:t>occupation du terrain étaient entaché de nullité. Par un jugement du 19 mars 1984, le tribunal administratif annula tous les actes de la procédure d</w:t>
      </w:r>
      <w:r w:rsidR="00FD0092">
        <w:rPr>
          <w:lang w:val="fr-FR"/>
        </w:rPr>
        <w:t>’</w:t>
      </w:r>
      <w:r w:rsidRPr="00FD0092">
        <w:rPr>
          <w:lang w:val="fr-FR"/>
        </w:rPr>
        <w:t>occupation du terrain.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administration attaqua ledit jugement devant le </w:t>
      </w:r>
      <w:r w:rsidRPr="00FD0092">
        <w:rPr>
          <w:bCs/>
          <w:lang w:val="fr-FR"/>
        </w:rPr>
        <w:t>Conseil</w:t>
      </w:r>
      <w:r w:rsidRPr="00FD0092">
        <w:rPr>
          <w:lang w:val="fr-FR"/>
        </w:rPr>
        <w:t xml:space="preserve"> de </w:t>
      </w:r>
      <w:bookmarkStart w:id="2" w:name="HIT2"/>
      <w:bookmarkEnd w:id="2"/>
      <w:r w:rsidRPr="00FD0092">
        <w:rPr>
          <w:bCs/>
          <w:lang w:val="fr-FR"/>
        </w:rPr>
        <w:t>justice</w:t>
      </w:r>
      <w:r w:rsidRPr="00FD0092">
        <w:rPr>
          <w:lang w:val="fr-FR"/>
        </w:rPr>
        <w:t xml:space="preserve"> administrative pour la Sicile. Par un arrêt du 27 janvier 1989, le</w:t>
      </w:r>
      <w:r w:rsidRPr="00FD0092">
        <w:rPr>
          <w:bCs/>
          <w:lang w:val="fr-FR"/>
        </w:rPr>
        <w:t xml:space="preserve"> Conseil</w:t>
      </w:r>
      <w:r w:rsidRPr="00FD0092">
        <w:rPr>
          <w:lang w:val="fr-FR"/>
        </w:rPr>
        <w:t xml:space="preserve"> de </w:t>
      </w:r>
      <w:r w:rsidRPr="00FD0092">
        <w:rPr>
          <w:bCs/>
          <w:lang w:val="fr-FR"/>
        </w:rPr>
        <w:t>justice rejeta le recours de l</w:t>
      </w:r>
      <w:r w:rsidR="00FD0092">
        <w:rPr>
          <w:bCs/>
          <w:lang w:val="fr-FR"/>
        </w:rPr>
        <w:t>’</w:t>
      </w:r>
      <w:r w:rsidRPr="00FD0092">
        <w:rPr>
          <w:bCs/>
          <w:lang w:val="fr-FR"/>
        </w:rPr>
        <w:t>administration.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10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Entre-temps, le 17 janvier 1984, les requérants introduisirent devant le tribunal de Caltagirone une action en dommages-intérêts à l</w:t>
      </w:r>
      <w:r w:rsidR="00FD0092">
        <w:rPr>
          <w:lang w:val="fr-FR"/>
        </w:rPr>
        <w:t>’</w:t>
      </w:r>
      <w:r w:rsidRPr="00FD0092">
        <w:rPr>
          <w:lang w:val="fr-FR"/>
        </w:rPr>
        <w:t>encontre de la municipalité et du IACP. Ils faisaient valoir que l</w:t>
      </w:r>
      <w:r w:rsidR="00FD0092">
        <w:rPr>
          <w:lang w:val="fr-FR"/>
        </w:rPr>
        <w:t>’</w:t>
      </w:r>
      <w:r w:rsidRPr="00FD0092">
        <w:rPr>
          <w:lang w:val="fr-FR"/>
        </w:rPr>
        <w:t>occupation du terrain était illégale, étant donné que celle-ci s</w:t>
      </w:r>
      <w:r w:rsidR="00FD0092">
        <w:rPr>
          <w:lang w:val="fr-FR"/>
        </w:rPr>
        <w:t>’</w:t>
      </w:r>
      <w:r w:rsidRPr="00FD0092">
        <w:rPr>
          <w:lang w:val="fr-FR"/>
        </w:rPr>
        <w:t>était poursuivie au-delà de la période autorisée, sans mise en œuvre d</w:t>
      </w:r>
      <w:r w:rsidR="00FD0092">
        <w:rPr>
          <w:lang w:val="fr-FR"/>
        </w:rPr>
        <w:t>’</w:t>
      </w:r>
      <w:r w:rsidRPr="00FD0092">
        <w:rPr>
          <w:lang w:val="fr-FR"/>
        </w:rPr>
        <w:t>une procédure d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et versement d</w:t>
      </w:r>
      <w:r w:rsidR="00FD0092">
        <w:rPr>
          <w:lang w:val="fr-FR"/>
        </w:rPr>
        <w:t>’</w:t>
      </w:r>
      <w:r w:rsidRPr="00FD0092">
        <w:rPr>
          <w:lang w:val="fr-FR"/>
        </w:rPr>
        <w:t>une indemnité et demandaient un dédommagement pour la perte du terrain. De plus, les requérants faisaient valoir que l</w:t>
      </w:r>
      <w:r w:rsidR="00FD0092">
        <w:rPr>
          <w:lang w:val="fr-FR"/>
        </w:rPr>
        <w:t>’</w:t>
      </w:r>
      <w:r w:rsidRPr="00FD0092">
        <w:rPr>
          <w:lang w:val="fr-FR"/>
        </w:rPr>
        <w:t>occupation du terrain en vue de son expropriation était illégale, puisque, conformément au jugement du T.A.R., les actes de la procédure d</w:t>
      </w:r>
      <w:r w:rsidR="00FD0092">
        <w:rPr>
          <w:lang w:val="fr-FR"/>
        </w:rPr>
        <w:t>’</w:t>
      </w:r>
      <w:r w:rsidRPr="00FD0092">
        <w:rPr>
          <w:lang w:val="fr-FR"/>
        </w:rPr>
        <w:t>occupation étaient inefficaces.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11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Des trente audiences fixées entre le 5 avril 1984 et le 6 juin 2001, six ne se tinrent pas pour des raisons non précisées, deux furent renvoyées en raison de l</w:t>
      </w:r>
      <w:r w:rsidR="00FD0092">
        <w:rPr>
          <w:lang w:val="fr-FR"/>
        </w:rPr>
        <w:t>’</w:t>
      </w:r>
      <w:r w:rsidRPr="00FD0092">
        <w:rPr>
          <w:lang w:val="fr-FR"/>
        </w:rPr>
        <w:t>absence de l</w:t>
      </w:r>
      <w:r w:rsidR="00FD0092">
        <w:rPr>
          <w:lang w:val="fr-FR"/>
        </w:rPr>
        <w:t>’</w:t>
      </w:r>
      <w:r w:rsidRPr="00FD0092">
        <w:rPr>
          <w:lang w:val="fr-FR"/>
        </w:rPr>
        <w:t>expert, une au motif que ce dernier n</w:t>
      </w:r>
      <w:r w:rsidR="00FD0092">
        <w:rPr>
          <w:lang w:val="fr-FR"/>
        </w:rPr>
        <w:t>’</w:t>
      </w:r>
      <w:r w:rsidRPr="00FD0092">
        <w:rPr>
          <w:lang w:val="fr-FR"/>
        </w:rPr>
        <w:t>avait pas déposé son rapport, une d</w:t>
      </w:r>
      <w:r w:rsidR="00FD0092">
        <w:rPr>
          <w:lang w:val="fr-FR"/>
        </w:rPr>
        <w:t>’</w:t>
      </w:r>
      <w:r w:rsidRPr="00FD0092">
        <w:rPr>
          <w:lang w:val="fr-FR"/>
        </w:rPr>
        <w:t>office, cinq à la demande des parties, dont quatre afin d</w:t>
      </w:r>
      <w:r w:rsidR="00FD0092">
        <w:rPr>
          <w:lang w:val="fr-FR"/>
        </w:rPr>
        <w:t>’</w:t>
      </w:r>
      <w:r w:rsidRPr="00FD0092">
        <w:rPr>
          <w:lang w:val="fr-FR"/>
        </w:rPr>
        <w:t>examiner les rapports d</w:t>
      </w:r>
      <w:r w:rsidR="00FD0092">
        <w:rPr>
          <w:lang w:val="fr-FR"/>
        </w:rPr>
        <w:t>’</w:t>
      </w:r>
      <w:r w:rsidRPr="00FD0092">
        <w:rPr>
          <w:lang w:val="fr-FR"/>
        </w:rPr>
        <w:t>expertise, deux concernèrent la constitution des parties dans la procédure, quatre le dépôt de mémoires et documents, cinq l</w:t>
      </w:r>
      <w:r w:rsidR="00FD0092">
        <w:rPr>
          <w:lang w:val="fr-FR"/>
        </w:rPr>
        <w:t>’</w:t>
      </w:r>
      <w:r w:rsidRPr="00FD0092">
        <w:rPr>
          <w:lang w:val="fr-FR"/>
        </w:rPr>
        <w:t>expertise, trois la présentation des conclusions, une les plaidoiries.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12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Par un jugement du 2 février 2002, le tribunal affirma que le terrain était passé à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administration par effet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expropriation indirecte et condamna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administration ainsi que le IACP à payer aux requérants une indemnité calculée selon la loi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 xml:space="preserve"> 662 de 1996 entre-temps entrée en vigueur, à savoir 958 450 354 ITL </w:t>
      </w:r>
      <w:r w:rsidRPr="00FD0092">
        <w:rPr>
          <w:lang w:val="fr-FR"/>
        </w:rPr>
        <w:t>(494 998 EUR)</w:t>
      </w:r>
      <w:r w:rsidRPr="00FD0092">
        <w:rPr>
          <w:lang w:val="fr-FR" w:eastAsia="en-GB"/>
        </w:rPr>
        <w:t xml:space="preserve">, plus 453 514 795 ITL </w:t>
      </w:r>
      <w:r w:rsidRPr="00FD0092">
        <w:rPr>
          <w:lang w:val="fr-FR"/>
        </w:rPr>
        <w:t>(234 221 EUR)</w:t>
      </w:r>
      <w:r w:rsidRPr="00FD0092">
        <w:rPr>
          <w:lang w:val="fr-FR" w:eastAsia="en-GB"/>
        </w:rPr>
        <w:t xml:space="preserve"> pour indemnité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occupation. Ces sommes devaient être réévaluées et assorties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 xml:space="preserve">intérêts à partir de 1999. </w:t>
      </w:r>
      <w:r w:rsidRPr="00FD0092">
        <w:rPr>
          <w:lang w:val="fr-FR"/>
        </w:rPr>
        <w:t>En outre, elles étaient soumises à un impôt à la source de 20%, prévu par la loi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> 413 de 1991.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13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 25 février 2003, l</w:t>
      </w:r>
      <w:r w:rsidR="00FD0092">
        <w:rPr>
          <w:lang w:val="fr-FR"/>
        </w:rPr>
        <w:t>’</w:t>
      </w:r>
      <w:r w:rsidRPr="00FD0092">
        <w:rPr>
          <w:lang w:val="fr-FR"/>
        </w:rPr>
        <w:t>administration attaqua le jugement du tribunal devant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de Catane.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14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</w:t>
      </w:r>
      <w:r w:rsidR="00533A76" w:rsidRPr="00FD0092">
        <w:rPr>
          <w:lang w:val="fr-FR"/>
        </w:rPr>
        <w:t> </w:t>
      </w:r>
      <w:r w:rsidRPr="00FD0092">
        <w:rPr>
          <w:lang w:val="fr-FR"/>
        </w:rPr>
        <w:t xml:space="preserve"> Entre-temps, le 25 mai 2005 les requérants introduisirent un recours afin de contester </w:t>
      </w:r>
      <w:r w:rsidRPr="00FD0092">
        <w:rPr>
          <w:lang w:val="fr-FR" w:eastAsia="en-GB"/>
        </w:rPr>
        <w:t>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application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impôt prévu par la loi n</w:t>
      </w:r>
      <w:r w:rsidRPr="00FD0092">
        <w:rPr>
          <w:vertAlign w:val="superscript"/>
          <w:lang w:val="fr-FR" w:eastAsia="en-GB"/>
        </w:rPr>
        <w:t>o</w:t>
      </w:r>
      <w:r w:rsidR="0023463B" w:rsidRPr="00FD0092">
        <w:rPr>
          <w:vertAlign w:val="superscript"/>
          <w:lang w:val="fr-FR" w:eastAsia="en-GB"/>
        </w:rPr>
        <w:t xml:space="preserve"> </w:t>
      </w:r>
      <w:r w:rsidRPr="00FD0092">
        <w:rPr>
          <w:lang w:val="fr-FR" w:eastAsia="en-GB"/>
        </w:rPr>
        <w:t>413 de 1991 devant la commission tributaire provinciale de Caltanissetta.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issue de cette procédure n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est pas connue.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15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</w:t>
      </w:r>
      <w:r w:rsidRPr="00FD0092">
        <w:rPr>
          <w:lang w:val="fr-FR"/>
        </w:rPr>
        <w:t>  Par un arrêt déposé au greffe le 7 juin 2010,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de Catane estima qu</w:t>
      </w:r>
      <w:r w:rsidR="00FD0092">
        <w:rPr>
          <w:lang w:val="fr-FR"/>
        </w:rPr>
        <w:t>’</w:t>
      </w:r>
      <w:r w:rsidRPr="00FD0092">
        <w:rPr>
          <w:lang w:val="fr-FR"/>
        </w:rPr>
        <w:t>il s</w:t>
      </w:r>
      <w:r w:rsidR="00FD0092">
        <w:rPr>
          <w:lang w:val="fr-FR"/>
        </w:rPr>
        <w:t>’</w:t>
      </w:r>
      <w:r w:rsidRPr="00FD0092">
        <w:rPr>
          <w:lang w:val="fr-FR"/>
        </w:rPr>
        <w:t>agissait en l</w:t>
      </w:r>
      <w:r w:rsidR="00FD0092">
        <w:rPr>
          <w:lang w:val="fr-FR"/>
        </w:rPr>
        <w:t>’</w:t>
      </w:r>
      <w:r w:rsidRPr="00FD0092">
        <w:rPr>
          <w:lang w:val="fr-FR"/>
        </w:rPr>
        <w:t>espèce d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une expropriation illégitime </w:t>
      </w:r>
      <w:r w:rsidRPr="00FD0092">
        <w:rPr>
          <w:i/>
          <w:lang w:val="fr-FR"/>
        </w:rPr>
        <w:t>ab initio</w:t>
      </w:r>
      <w:r w:rsidRPr="00FD0092">
        <w:rPr>
          <w:lang w:val="fr-FR"/>
        </w:rPr>
        <w:t>, au motif que l</w:t>
      </w:r>
      <w:r w:rsidR="00FD0092">
        <w:rPr>
          <w:lang w:val="fr-FR"/>
        </w:rPr>
        <w:t>’</w:t>
      </w:r>
      <w:r w:rsidRPr="00FD0092">
        <w:rPr>
          <w:lang w:val="fr-FR"/>
        </w:rPr>
        <w:t>arrêté d</w:t>
      </w:r>
      <w:r w:rsidR="00FD0092">
        <w:rPr>
          <w:lang w:val="fr-FR"/>
        </w:rPr>
        <w:t>’</w:t>
      </w:r>
      <w:r w:rsidRPr="00FD0092">
        <w:rPr>
          <w:lang w:val="fr-FR"/>
        </w:rPr>
        <w:t>occupation n</w:t>
      </w:r>
      <w:r w:rsidR="00FD0092">
        <w:rPr>
          <w:lang w:val="fr-FR"/>
        </w:rPr>
        <w:t>’</w:t>
      </w:r>
      <w:r w:rsidRPr="00FD0092">
        <w:rPr>
          <w:lang w:val="fr-FR"/>
        </w:rPr>
        <w:t>était pas conforme à la loi.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souligna que, à la lumière des arrêts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348 et 349 de 2007 de la Cour constitutionnelle déclarant l</w:t>
      </w:r>
      <w:r w:rsidR="00FD0092">
        <w:rPr>
          <w:lang w:val="fr-FR"/>
        </w:rPr>
        <w:t>’</w:t>
      </w:r>
      <w:r w:rsidRPr="00FD0092">
        <w:rPr>
          <w:lang w:val="fr-FR"/>
        </w:rPr>
        <w:t>inconstitutionnalité de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article 5 </w:t>
      </w:r>
      <w:r w:rsidRPr="00FD0092">
        <w:rPr>
          <w:i/>
          <w:lang w:val="fr-FR"/>
        </w:rPr>
        <w:t>bis</w:t>
      </w:r>
      <w:r w:rsidRPr="00FD0092">
        <w:rPr>
          <w:lang w:val="fr-FR"/>
        </w:rPr>
        <w:t xml:space="preserve"> du décret-loi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> 333 du 11 juillet 1992, tel que modifié par la loi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662 de 1996, l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indirecte était contraire à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>o</w:t>
      </w:r>
      <w:r w:rsidR="0023463B" w:rsidRPr="00FD0092">
        <w:rPr>
          <w:lang w:val="fr-FR" w:eastAsia="en-GB"/>
        </w:rPr>
        <w:t> </w:t>
      </w:r>
      <w:r w:rsidRPr="00FD0092">
        <w:rPr>
          <w:lang w:val="fr-FR"/>
        </w:rPr>
        <w:t>1 de la Convention, tel qu</w:t>
      </w:r>
      <w:r w:rsidR="00FD0092">
        <w:rPr>
          <w:lang w:val="fr-FR"/>
        </w:rPr>
        <w:t>’</w:t>
      </w:r>
      <w:r w:rsidRPr="00FD0092">
        <w:rPr>
          <w:lang w:val="fr-FR"/>
        </w:rPr>
        <w:t>interprété par la jurisprudence de la Cour, et entraînent l</w:t>
      </w:r>
      <w:r w:rsidR="00FD0092">
        <w:rPr>
          <w:lang w:val="fr-FR"/>
        </w:rPr>
        <w:t>’</w:t>
      </w:r>
      <w:r w:rsidRPr="00FD0092">
        <w:rPr>
          <w:lang w:val="fr-FR"/>
        </w:rPr>
        <w:t>obligation pour l</w:t>
      </w:r>
      <w:r w:rsidR="00FD0092">
        <w:rPr>
          <w:lang w:val="fr-FR"/>
        </w:rPr>
        <w:t>’</w:t>
      </w:r>
      <w:r w:rsidRPr="00FD0092">
        <w:rPr>
          <w:lang w:val="fr-FR"/>
        </w:rPr>
        <w:t>administration publique de verser aux intéressés un dédommagement à hauteur de la valeur vénale du terrain exproprié sur la base de la nouvelle expertise ordonnée par la cour. Dès lors,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accorda aux requérants</w:t>
      </w:r>
      <w:r w:rsidR="00972295" w:rsidRPr="00FD0092">
        <w:rPr>
          <w:lang w:val="fr-FR"/>
        </w:rPr>
        <w:t xml:space="preserve"> un dédommagement de 459 485,81 </w:t>
      </w:r>
      <w:r w:rsidRPr="00FD0092">
        <w:rPr>
          <w:lang w:val="fr-FR"/>
        </w:rPr>
        <w:t>EUR plus réévaluation et intérêts.</w:t>
      </w:r>
    </w:p>
    <w:p w:rsidR="00D64D5F" w:rsidRPr="00FD0092" w:rsidRDefault="0079083E" w:rsidP="00FD0092">
      <w:pPr>
        <w:pStyle w:val="ECHRHeading2"/>
        <w:rPr>
          <w:lang w:val="fr-FR"/>
        </w:rPr>
      </w:pPr>
      <w:r w:rsidRPr="00FD0092">
        <w:rPr>
          <w:lang w:val="fr-FR"/>
        </w:rPr>
        <w:t>B</w:t>
      </w:r>
      <w:r w:rsidR="0023463B" w:rsidRPr="00FD0092">
        <w:rPr>
          <w:lang w:val="fr-FR"/>
        </w:rPr>
        <w:t>.</w:t>
      </w:r>
      <w:r w:rsidR="0023463B" w:rsidRPr="00FD0092">
        <w:rPr>
          <w:lang w:val="fr-FR" w:eastAsia="en-GB"/>
        </w:rPr>
        <w:t>  </w:t>
      </w:r>
      <w:r w:rsidR="00D64D5F" w:rsidRPr="00FD0092">
        <w:rPr>
          <w:lang w:val="fr-FR"/>
        </w:rPr>
        <w:t>La procédure « Pinto »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16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À une date non précisée en 2003, les requérants saisirent la cour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appel de Messine au sens de la loi « Pinto », demandant à être dédommagés pour la durée excessive de la procédure devant le tribunal de Caltagirone.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17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Par une décision du 5 juin 2003, dont le texte fut déposé au greffe le 25 juillet 2003, la cour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 xml:space="preserve">appel </w:t>
      </w:r>
      <w:r w:rsidRPr="00FD0092">
        <w:rPr>
          <w:lang w:val="fr-FR"/>
        </w:rPr>
        <w:t>conclut à la violation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 et accorda 4 000 EUR à chaque requérant pour dommage moral, et 1 818 EUR conjointement pour frais et dépens.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18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Il ressort du décret de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que cette décision fut notifiée au ministère de la Justice le 6 octobre 2003. La décision devint ainsi définitive le 6 décembre 2003.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19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À une date non précisée en 2004, les requérants entamèrent une procédure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exécution devant le tribunal de Caltanissetta afin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obtenir le paiement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indemnisation octroyée par la cour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appel.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20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Le 18 mai 2004, le juge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exécution assigna aux requérants les sommes objet de leur saisie.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21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Les requérants reçurent lesdites sommes le 27 juillet 2004.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II.  LE DROIT ET LA PRATIQUE INTERNES PERTINENTS</w:t>
      </w:r>
    </w:p>
    <w:p w:rsidR="00D64D5F" w:rsidRPr="00FD0092" w:rsidRDefault="00D64D5F" w:rsidP="00FD0092">
      <w:pPr>
        <w:pStyle w:val="ECHRPara"/>
        <w:rPr>
          <w:snapToGrid w:val="0"/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22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 droit interne pertinent se trouve décrit dans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arrêt </w:t>
      </w:r>
      <w:r w:rsidR="00972295" w:rsidRPr="00FD0092">
        <w:rPr>
          <w:i/>
          <w:lang w:val="fr-FR"/>
        </w:rPr>
        <w:t>Guiso-Gallisay c. </w:t>
      </w:r>
      <w:r w:rsidRPr="00FD0092">
        <w:rPr>
          <w:i/>
          <w:lang w:val="fr-FR"/>
        </w:rPr>
        <w:t xml:space="preserve">Italie </w:t>
      </w:r>
      <w:r w:rsidRPr="00FD0092">
        <w:rPr>
          <w:lang w:val="fr-FR"/>
        </w:rPr>
        <w:t>(satisfaction équitable) [GC],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58858/00</w:t>
      </w:r>
      <w:r w:rsidRPr="00FD0092">
        <w:rPr>
          <w:snapToGrid w:val="0"/>
          <w:lang w:val="fr-FR"/>
        </w:rPr>
        <w:t xml:space="preserve">, 22 </w:t>
      </w:r>
      <w:r w:rsidRPr="00FD0092">
        <w:rPr>
          <w:lang w:val="fr-FR"/>
        </w:rPr>
        <w:t>décembre</w:t>
      </w:r>
      <w:r w:rsidRPr="00FD0092">
        <w:rPr>
          <w:snapToGrid w:val="0"/>
          <w:lang w:val="fr-FR"/>
        </w:rPr>
        <w:t xml:space="preserve"> 2009 (§§ 16-48).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snapToGrid w:val="0"/>
        </w:rPr>
        <w:fldChar w:fldCharType="begin"/>
      </w:r>
      <w:r w:rsidRPr="00FD0092">
        <w:rPr>
          <w:snapToGrid w:val="0"/>
          <w:lang w:val="fr-FR"/>
        </w:rPr>
        <w:instrText xml:space="preserve"> SEQ level0 \*arabic </w:instrText>
      </w:r>
      <w:r w:rsidRPr="00FD0092">
        <w:rPr>
          <w:snapToGrid w:val="0"/>
        </w:rPr>
        <w:fldChar w:fldCharType="separate"/>
      </w:r>
      <w:r w:rsidR="00E47277">
        <w:rPr>
          <w:noProof/>
          <w:snapToGrid w:val="0"/>
          <w:lang w:val="fr-FR"/>
        </w:rPr>
        <w:t>23</w:t>
      </w:r>
      <w:r w:rsidRPr="00FD0092">
        <w:rPr>
          <w:snapToGrid w:val="0"/>
        </w:rPr>
        <w:fldChar w:fldCharType="end"/>
      </w:r>
      <w:r w:rsidRPr="00FD0092">
        <w:rPr>
          <w:snapToGrid w:val="0"/>
          <w:lang w:val="fr-FR"/>
        </w:rPr>
        <w:t>.  </w:t>
      </w:r>
      <w:r w:rsidRPr="00FD0092">
        <w:rPr>
          <w:lang w:val="fr-FR"/>
        </w:rPr>
        <w:t>En particulier, quant aux derniers développements intervenus en droit interne, la Cour note que p</w:t>
      </w:r>
      <w:r w:rsidRPr="00FD0092">
        <w:rPr>
          <w:lang w:val="fr-FR" w:eastAsia="en-GB"/>
        </w:rPr>
        <w:t>ar les arrêts n</w:t>
      </w:r>
      <w:r w:rsidRPr="00FD0092">
        <w:rPr>
          <w:vertAlign w:val="superscript"/>
          <w:lang w:val="fr-FR" w:eastAsia="en-GB"/>
        </w:rPr>
        <w:t>os</w:t>
      </w:r>
      <w:r w:rsidRPr="00FD0092">
        <w:rPr>
          <w:lang w:val="fr-FR" w:eastAsia="en-GB"/>
        </w:rPr>
        <w:t xml:space="preserve"> 348 et 349 du 22 octobre 2007, la Cour Constitutionnelle a jugé que la loi interne doit être compatible avec la Convention dans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interprétation donnée par la jurisprudence de la Cour et, par conséquent, a déclaré inconstitutionnel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 xml:space="preserve">article 5 </w:t>
      </w:r>
      <w:r w:rsidRPr="00FD0092">
        <w:rPr>
          <w:i/>
          <w:lang w:val="fr-FR" w:eastAsia="en-GB"/>
        </w:rPr>
        <w:t>bis</w:t>
      </w:r>
      <w:r w:rsidRPr="00FD0092">
        <w:rPr>
          <w:lang w:val="fr-FR" w:eastAsia="en-GB"/>
        </w:rPr>
        <w:t xml:space="preserve"> du décret-loi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> 333 du 11 juillet 1992, tel que modifié par la loi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 xml:space="preserve"> 662 de 1996.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eastAsia="en-GB"/>
        </w:rPr>
        <w:fldChar w:fldCharType="separate"/>
      </w:r>
      <w:r w:rsidR="00E47277">
        <w:rPr>
          <w:noProof/>
          <w:lang w:val="fr-FR" w:eastAsia="en-GB"/>
        </w:rPr>
        <w:t>24</w:t>
      </w:r>
      <w:r w:rsidRPr="00FD0092">
        <w:rPr>
          <w:lang w:eastAsia="en-GB"/>
        </w:rPr>
        <w:fldChar w:fldCharType="end"/>
      </w:r>
      <w:r w:rsidRPr="00FD0092">
        <w:rPr>
          <w:lang w:val="fr-FR" w:eastAsia="en-GB"/>
        </w:rPr>
        <w:t>.  La Cour Constitutionnelle, dans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arrêt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 xml:space="preserve"> 349, a relevé que le niveau insuffisant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indemnisation prévu par la loi de 1996 était contraire à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article 1 du Protocole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 xml:space="preserve"> 1 et par conséquent à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article 117 de la Constitution italienne, lequel prévoit le respect des obligations internationales.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eastAsia="en-GB"/>
        </w:rPr>
        <w:fldChar w:fldCharType="separate"/>
      </w:r>
      <w:r w:rsidR="00E47277">
        <w:rPr>
          <w:noProof/>
          <w:lang w:val="fr-FR" w:eastAsia="en-GB"/>
        </w:rPr>
        <w:t>25</w:t>
      </w:r>
      <w:r w:rsidRPr="00FD0092">
        <w:rPr>
          <w:lang w:eastAsia="en-GB"/>
        </w:rPr>
        <w:fldChar w:fldCharType="end"/>
      </w:r>
      <w:r w:rsidRPr="00FD0092">
        <w:rPr>
          <w:lang w:val="fr-FR" w:eastAsia="en-GB"/>
        </w:rPr>
        <w:t xml:space="preserve">.  Suite aux arrêts de la Cour constitutionnelle, des modifications législatives sont intervenues en droit interne. </w:t>
      </w:r>
      <w:r w:rsidRPr="00FD0092">
        <w:rPr>
          <w:lang w:val="fr-FR"/>
        </w:rPr>
        <w:t>L</w:t>
      </w:r>
      <w:r w:rsidR="00FD0092">
        <w:rPr>
          <w:lang w:val="fr-FR"/>
        </w:rPr>
        <w:t>’</w:t>
      </w:r>
      <w:r w:rsidRPr="00FD0092">
        <w:rPr>
          <w:lang w:val="fr-FR"/>
        </w:rPr>
        <w:t>article 2/89 e) de la loi de finances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244 de 2007 a établi que dans un cas d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indirecte le dédommagement doit correspondre à la valeur vénale des biens, aucune réduction n</w:t>
      </w:r>
      <w:r w:rsidR="00FD0092">
        <w:rPr>
          <w:lang w:val="fr-FR"/>
        </w:rPr>
        <w:t>’</w:t>
      </w:r>
      <w:r w:rsidRPr="00FD0092">
        <w:rPr>
          <w:lang w:val="fr-FR"/>
        </w:rPr>
        <w:t>étant admise.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26</w:t>
      </w:r>
      <w:r w:rsidRPr="00FD0092">
        <w:fldChar w:fldCharType="end"/>
      </w:r>
      <w:r w:rsidRPr="00FD0092">
        <w:rPr>
          <w:lang w:val="fr-FR"/>
        </w:rPr>
        <w:t>.  Cette disposition est applicable à toutes les procédures en cours au 1</w:t>
      </w:r>
      <w:r w:rsidRPr="00FD0092">
        <w:rPr>
          <w:vertAlign w:val="superscript"/>
          <w:lang w:val="fr-FR"/>
        </w:rPr>
        <w:t>er</w:t>
      </w:r>
      <w:r w:rsidRPr="00FD0092">
        <w:rPr>
          <w:position w:val="6"/>
          <w:lang w:val="fr-FR"/>
        </w:rPr>
        <w:t xml:space="preserve"> </w:t>
      </w:r>
      <w:r w:rsidRPr="00FD0092">
        <w:rPr>
          <w:lang w:val="fr-FR"/>
        </w:rPr>
        <w:t>janvier 2008, sauf celles où la décision sur l</w:t>
      </w:r>
      <w:r w:rsidR="00FD0092">
        <w:rPr>
          <w:lang w:val="fr-FR"/>
        </w:rPr>
        <w:t>’</w:t>
      </w:r>
      <w:r w:rsidRPr="00FD0092">
        <w:rPr>
          <w:lang w:val="fr-FR"/>
        </w:rPr>
        <w:t>indemnité d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ou sur le dédommagement a été acceptée ou est devenue définitive.</w:t>
      </w:r>
    </w:p>
    <w:p w:rsidR="00D64D5F" w:rsidRPr="00FD0092" w:rsidRDefault="00D64D5F" w:rsidP="00FD0092">
      <w:pPr>
        <w:pStyle w:val="ECHRPara"/>
        <w:rPr>
          <w:szCs w:val="24"/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27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 droit et la pratique internes pertinents relatifs à la loi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> 89 du 24 mars 2001, dite « loi Pinto » figurent dans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arrêt </w:t>
      </w:r>
      <w:r w:rsidRPr="00FD0092">
        <w:rPr>
          <w:i/>
          <w:iCs/>
          <w:lang w:val="fr-FR"/>
        </w:rPr>
        <w:t>Cocchiarella c. Italie</w:t>
      </w:r>
      <w:r w:rsidRPr="00FD0092">
        <w:rPr>
          <w:i/>
          <w:lang w:val="fr-FR"/>
        </w:rPr>
        <w:t xml:space="preserve"> </w:t>
      </w:r>
      <w:r w:rsidRPr="00FD0092">
        <w:rPr>
          <w:lang w:val="fr-FR"/>
        </w:rPr>
        <w:t>([GC], n</w:t>
      </w:r>
      <w:r w:rsidRPr="00FD0092">
        <w:rPr>
          <w:vertAlign w:val="superscript"/>
          <w:lang w:val="fr-FR"/>
        </w:rPr>
        <w:t>o </w:t>
      </w:r>
      <w:r w:rsidRPr="00FD0092">
        <w:rPr>
          <w:lang w:val="fr-FR"/>
        </w:rPr>
        <w:t>64886/01, §§ 23-31, CEDH 2006-V).</w:t>
      </w:r>
    </w:p>
    <w:p w:rsidR="00D64D5F" w:rsidRPr="00FD0092" w:rsidRDefault="00D64D5F" w:rsidP="00FD0092">
      <w:pPr>
        <w:pStyle w:val="ECHRTitle1"/>
        <w:rPr>
          <w:lang w:val="fr-FR"/>
        </w:rPr>
      </w:pPr>
      <w:r w:rsidRPr="00FD0092">
        <w:rPr>
          <w:lang w:val="fr-FR"/>
        </w:rPr>
        <w:t>EN DROIT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I.  SUR LA VIOLATION ALLÉGUÉE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28</w:t>
      </w:r>
      <w:r w:rsidRPr="00FD0092">
        <w:fldChar w:fldCharType="end"/>
      </w:r>
      <w:r w:rsidRPr="00FD0092">
        <w:rPr>
          <w:lang w:val="fr-FR"/>
        </w:rPr>
        <w:t>.  Les requérants allèguent qu</w:t>
      </w:r>
      <w:r w:rsidR="00FD0092">
        <w:rPr>
          <w:lang w:val="fr-FR"/>
        </w:rPr>
        <w:t>’</w:t>
      </w:r>
      <w:r w:rsidRPr="00FD0092">
        <w:rPr>
          <w:lang w:val="fr-FR"/>
        </w:rPr>
        <w:t>ils ont été privés de leur terrain de manière incompatible avec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 xml:space="preserve">o </w:t>
      </w:r>
      <w:r w:rsidRPr="00FD0092">
        <w:rPr>
          <w:lang w:val="fr-FR"/>
        </w:rPr>
        <w:t>1 ainsi libellé :</w:t>
      </w:r>
    </w:p>
    <w:p w:rsidR="00D64D5F" w:rsidRPr="00FD0092" w:rsidRDefault="00D64D5F" w:rsidP="00FD0092">
      <w:pPr>
        <w:pStyle w:val="ECHRParaQuote"/>
        <w:rPr>
          <w:lang w:val="fr-FR"/>
        </w:rPr>
      </w:pPr>
      <w:r w:rsidRPr="00FD0092">
        <w:rPr>
          <w:lang w:val="fr-FR"/>
        </w:rPr>
        <w:t>« Toute personne physique ou morale a droit au respect de ses biens. Nul ne peut être privé de sa propriété que pour cause d</w:t>
      </w:r>
      <w:r w:rsidR="00FD0092">
        <w:rPr>
          <w:lang w:val="fr-FR"/>
        </w:rPr>
        <w:t>’</w:t>
      </w:r>
      <w:r w:rsidRPr="00FD0092">
        <w:rPr>
          <w:lang w:val="fr-FR"/>
        </w:rPr>
        <w:t>utilité publique et dans les conditions prévues par la loi et les principes généraux du droit international.</w:t>
      </w:r>
    </w:p>
    <w:p w:rsidR="00D64D5F" w:rsidRPr="00FD0092" w:rsidRDefault="00D64D5F" w:rsidP="00FD0092">
      <w:pPr>
        <w:pStyle w:val="ECHRParaQuote"/>
        <w:rPr>
          <w:lang w:val="fr-FR"/>
        </w:rPr>
      </w:pPr>
      <w:r w:rsidRPr="00FD0092">
        <w:rPr>
          <w:lang w:val="fr-FR"/>
        </w:rPr>
        <w:t>Les dispositions précédentes ne portent pas atteinte au droit que possèdent les États de mettre en vigueur les lois qu</w:t>
      </w:r>
      <w:r w:rsidR="00FD0092">
        <w:rPr>
          <w:lang w:val="fr-FR"/>
        </w:rPr>
        <w:t>’</w:t>
      </w:r>
      <w:r w:rsidRPr="00FD0092">
        <w:rPr>
          <w:lang w:val="fr-FR"/>
        </w:rPr>
        <w:t>ils jugent nécessaires pour réglementer l</w:t>
      </w:r>
      <w:r w:rsidR="00FD0092">
        <w:rPr>
          <w:lang w:val="fr-FR"/>
        </w:rPr>
        <w:t>’</w:t>
      </w:r>
      <w:r w:rsidRPr="00FD0092">
        <w:rPr>
          <w:lang w:val="fr-FR"/>
        </w:rPr>
        <w:t>usage des biens conformément à l</w:t>
      </w:r>
      <w:r w:rsidR="00FD0092">
        <w:rPr>
          <w:lang w:val="fr-FR"/>
        </w:rPr>
        <w:t>’</w:t>
      </w:r>
      <w:r w:rsidRPr="00FD0092">
        <w:rPr>
          <w:lang w:val="fr-FR"/>
        </w:rPr>
        <w:t>intérêt général ou pour assurer le paiement des impôts ou d</w:t>
      </w:r>
      <w:r w:rsidR="00FD0092">
        <w:rPr>
          <w:lang w:val="fr-FR"/>
        </w:rPr>
        <w:t>’</w:t>
      </w:r>
      <w:r w:rsidRPr="00FD0092">
        <w:rPr>
          <w:lang w:val="fr-FR"/>
        </w:rPr>
        <w:t>autres contributions ou des amendes. »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29</w:t>
      </w:r>
      <w:r w:rsidRPr="00FD0092">
        <w:fldChar w:fldCharType="end"/>
      </w:r>
      <w:r w:rsidRPr="00FD0092">
        <w:rPr>
          <w:lang w:val="fr-FR"/>
        </w:rPr>
        <w:t>.  Les requérants se plaignent du caractère inadéquat du montant accordé par le tribunal à titre d</w:t>
      </w:r>
      <w:r w:rsidR="00FD0092">
        <w:rPr>
          <w:lang w:val="fr-FR"/>
        </w:rPr>
        <w:t>’</w:t>
      </w:r>
      <w:r w:rsidRPr="00FD0092">
        <w:rPr>
          <w:lang w:val="fr-FR"/>
        </w:rPr>
        <w:t>indemnité d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expropriation, en raison de l</w:t>
      </w:r>
      <w:r w:rsidR="00FD0092">
        <w:rPr>
          <w:lang w:val="fr-FR"/>
        </w:rPr>
        <w:t>’</w:t>
      </w:r>
      <w:r w:rsidRPr="00FD0092">
        <w:rPr>
          <w:lang w:val="fr-FR"/>
        </w:rPr>
        <w:t>application à leur cause des lois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662 de 1996 et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431 de 1991.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30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 Gouvernement s</w:t>
      </w:r>
      <w:r w:rsidR="00FD0092">
        <w:rPr>
          <w:lang w:val="fr-FR"/>
        </w:rPr>
        <w:t>’</w:t>
      </w:r>
      <w:r w:rsidRPr="00FD0092">
        <w:rPr>
          <w:lang w:val="fr-FR"/>
        </w:rPr>
        <w:t>oppose à cette thèse.</w:t>
      </w:r>
    </w:p>
    <w:p w:rsidR="00D64D5F" w:rsidRPr="00FD0092" w:rsidRDefault="00D64D5F" w:rsidP="00FD0092">
      <w:pPr>
        <w:pStyle w:val="ECHRHeading2"/>
        <w:rPr>
          <w:lang w:val="fr-FR"/>
        </w:rPr>
      </w:pPr>
      <w:r w:rsidRPr="00FD0092">
        <w:rPr>
          <w:lang w:val="fr-FR"/>
        </w:rPr>
        <w:t>Sur la recevabilité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31</w:t>
      </w:r>
      <w:r w:rsidRPr="00FD0092">
        <w:fldChar w:fldCharType="end"/>
      </w:r>
      <w:r w:rsidRPr="00FD0092">
        <w:rPr>
          <w:lang w:val="fr-FR"/>
        </w:rPr>
        <w:t>.  Le Gouvernement observe que les requérants ont obtenu de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de Catane un dédommagement correspondant à la valeur vénale du terrain exproprié. De l</w:t>
      </w:r>
      <w:r w:rsidR="00FD0092">
        <w:rPr>
          <w:lang w:val="fr-FR"/>
        </w:rPr>
        <w:t>’</w:t>
      </w:r>
      <w:r w:rsidRPr="00FD0092">
        <w:rPr>
          <w:lang w:val="fr-FR"/>
        </w:rPr>
        <w:t>avis du Gouvernement, les requérants ne sauraient plus se prétendre « victimes » des faits qu</w:t>
      </w:r>
      <w:r w:rsidR="00FD0092">
        <w:rPr>
          <w:lang w:val="fr-FR"/>
        </w:rPr>
        <w:t>’</w:t>
      </w:r>
      <w:r w:rsidRPr="00FD0092">
        <w:rPr>
          <w:lang w:val="fr-FR"/>
        </w:rPr>
        <w:t>ils dénoncent.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32</w:t>
      </w:r>
      <w:r w:rsidRPr="00FD0092">
        <w:fldChar w:fldCharType="end"/>
      </w:r>
      <w:r w:rsidRPr="00FD0092">
        <w:rPr>
          <w:lang w:val="fr-FR"/>
        </w:rPr>
        <w:t>.  La Cour rappelle avoir déjà examiné des exceptions similaires dans d</w:t>
      </w:r>
      <w:r w:rsidR="00FD0092">
        <w:rPr>
          <w:lang w:val="fr-FR"/>
        </w:rPr>
        <w:t>’</w:t>
      </w:r>
      <w:r w:rsidRPr="00FD0092">
        <w:rPr>
          <w:lang w:val="fr-FR"/>
        </w:rPr>
        <w:t>autres affaires concernant des expropriations indirectes. Dans ces affaires, elle avait conclu</w:t>
      </w:r>
      <w:r w:rsidRPr="00FD0092">
        <w:rPr>
          <w:b/>
          <w:lang w:val="fr-FR"/>
        </w:rPr>
        <w:t xml:space="preserve"> </w:t>
      </w:r>
      <w:r w:rsidRPr="00FD0092">
        <w:rPr>
          <w:lang w:val="fr-FR"/>
        </w:rPr>
        <w:t>que le simple fait que le requérant ait reçu une indemnisation correspondant à la valeur vénale du terrain exproprié ne suffit pas en soi à lui retirer la qualité de « victime », bien que cela puisse jouer un rôle sur le terrain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41 (</w:t>
      </w:r>
      <w:r w:rsidRPr="00FD0092">
        <w:rPr>
          <w:i/>
          <w:lang w:val="fr-FR"/>
        </w:rPr>
        <w:t>De Angelis et autres c. Italie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68852/01, § 57, 21 décembre 2006 ; </w:t>
      </w:r>
      <w:r w:rsidRPr="00FD0092">
        <w:rPr>
          <w:i/>
          <w:lang w:val="fr-FR"/>
        </w:rPr>
        <w:t>Carbonara et Ventura c. Italie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24638/94, § 62, CEDH 2000</w:t>
      </w:r>
      <w:r w:rsidRPr="00FD0092">
        <w:rPr>
          <w:lang w:val="fr-FR"/>
        </w:rPr>
        <w:noBreakHyphen/>
        <w:t>VI ;</w:t>
      </w:r>
      <w:r w:rsidRPr="00FD0092">
        <w:rPr>
          <w:b/>
          <w:lang w:val="fr-FR"/>
        </w:rPr>
        <w:t xml:space="preserve"> </w:t>
      </w:r>
      <w:r w:rsidRPr="00FD0092">
        <w:rPr>
          <w:i/>
          <w:szCs w:val="24"/>
          <w:lang w:val="fr-FR"/>
        </w:rPr>
        <w:t>De Sciscio c. Italie</w:t>
      </w:r>
      <w:r w:rsidRPr="00FD0092">
        <w:rPr>
          <w:szCs w:val="24"/>
          <w:lang w:val="fr-FR"/>
        </w:rPr>
        <w:t>, n</w:t>
      </w:r>
      <w:r w:rsidRPr="00FD0092">
        <w:rPr>
          <w:szCs w:val="24"/>
          <w:vertAlign w:val="superscript"/>
          <w:lang w:val="fr-FR"/>
        </w:rPr>
        <w:t>o</w:t>
      </w:r>
      <w:r w:rsidRPr="00FD0092">
        <w:rPr>
          <w:szCs w:val="24"/>
          <w:lang w:val="fr-FR"/>
        </w:rPr>
        <w:t xml:space="preserve"> 176/04, § 53, 20 avril 2006</w:t>
      </w:r>
      <w:r w:rsidRPr="00FD0092">
        <w:rPr>
          <w:lang w:val="fr-FR"/>
        </w:rPr>
        <w:t xml:space="preserve">). Une décision ou une mesure favorable au requérant ne suffit en principe à retirer la qualité de «victime » que si les autorités nationales ont reconnu, explicitement ou en substance, puis réparé la violation de la Convention (voir </w:t>
      </w:r>
      <w:r w:rsidRPr="00FD0092">
        <w:rPr>
          <w:i/>
          <w:lang w:val="fr-FR"/>
        </w:rPr>
        <w:t>Guerrera et Fusco c. Italie</w:t>
      </w:r>
      <w:r w:rsidRPr="00FD0092">
        <w:rPr>
          <w:lang w:val="fr-FR"/>
        </w:rPr>
        <w:t>,</w:t>
      </w:r>
      <w:r w:rsidRPr="00FD0092">
        <w:rPr>
          <w:i/>
          <w:lang w:val="fr-FR"/>
        </w:rPr>
        <w:t xml:space="preserve"> </w:t>
      </w:r>
      <w:r w:rsidRPr="00FD0092">
        <w:rPr>
          <w:lang w:val="fr-FR"/>
        </w:rPr>
        <w:t>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40601/98, § 53, 3 avril 2003 ; </w:t>
      </w:r>
      <w:r w:rsidRPr="00FD0092">
        <w:rPr>
          <w:i/>
          <w:lang w:val="fr-FR"/>
        </w:rPr>
        <w:t>Amuur c. France</w:t>
      </w:r>
      <w:r w:rsidRPr="00FD0092">
        <w:rPr>
          <w:lang w:val="fr-FR"/>
        </w:rPr>
        <w:t xml:space="preserve"> du 25 juin 1996, Recueil 1996-III, p. 846, § 36).</w:t>
      </w:r>
    </w:p>
    <w:p w:rsidR="00D64D5F" w:rsidRPr="00FD0092" w:rsidRDefault="00D64D5F" w:rsidP="00FD0092">
      <w:pPr>
        <w:pStyle w:val="ECHRPara"/>
        <w:rPr>
          <w:b/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33</w:t>
      </w:r>
      <w:r w:rsidRPr="00FD0092">
        <w:fldChar w:fldCharType="end"/>
      </w:r>
      <w:r w:rsidRPr="00FD0092">
        <w:rPr>
          <w:lang w:val="fr-FR"/>
        </w:rPr>
        <w:t>.  En l</w:t>
      </w:r>
      <w:r w:rsidR="00FD0092">
        <w:rPr>
          <w:lang w:val="fr-FR"/>
        </w:rPr>
        <w:t>’</w:t>
      </w:r>
      <w:r w:rsidRPr="00FD0092">
        <w:rPr>
          <w:lang w:val="fr-FR"/>
        </w:rPr>
        <w:t>espèce, la Cour estime devoir examiner la qualité de victime du requérant à la lumière du changement de législation intervenu à la suite des arrêts de la Cour Constitutionnelle n</w:t>
      </w:r>
      <w:r w:rsidRPr="00FD0092">
        <w:rPr>
          <w:vertAlign w:val="superscript"/>
          <w:lang w:val="fr-FR"/>
        </w:rPr>
        <w:t>os</w:t>
      </w:r>
      <w:r w:rsidRPr="00FD0092">
        <w:rPr>
          <w:lang w:val="fr-FR"/>
        </w:rPr>
        <w:t> 348 et 349 du 22 octobre 2007.</w:t>
      </w:r>
      <w:r w:rsidRPr="00FD0092">
        <w:rPr>
          <w:b/>
          <w:lang w:val="fr-FR"/>
        </w:rPr>
        <w:t xml:space="preserve"> </w:t>
      </w:r>
      <w:r w:rsidRPr="00FD0092">
        <w:rPr>
          <w:lang w:val="fr-FR"/>
        </w:rPr>
        <w:t>Elle rappelle qu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il appartient en premier lieu aux autorités nationales de redresser une violation alléguée de la Convention. À cet égard, la question de savoir si un requérant peut se prétendre victime du manquement allégué se pose à tous les stades de la procédure au regard de la Convention et implique essentiellement pour la Cour de se livrer à un examen </w:t>
      </w:r>
      <w:r w:rsidRPr="00FD0092">
        <w:rPr>
          <w:i/>
          <w:lang w:val="fr-FR"/>
        </w:rPr>
        <w:t>ex post facto</w:t>
      </w:r>
      <w:r w:rsidRPr="00FD0092">
        <w:rPr>
          <w:lang w:val="fr-FR"/>
        </w:rPr>
        <w:t xml:space="preserve"> de la situation de la personne concernée (</w:t>
      </w:r>
      <w:r w:rsidRPr="00FD0092">
        <w:rPr>
          <w:i/>
          <w:szCs w:val="24"/>
          <w:lang w:val="fr-FR"/>
        </w:rPr>
        <w:t xml:space="preserve">Cocchiarella c. </w:t>
      </w:r>
      <w:r w:rsidRPr="00FD0092">
        <w:rPr>
          <w:i/>
          <w:spacing w:val="-2"/>
          <w:szCs w:val="24"/>
          <w:lang w:val="fr-FR"/>
        </w:rPr>
        <w:t>Italie</w:t>
      </w:r>
      <w:r w:rsidRPr="00FD0092">
        <w:rPr>
          <w:szCs w:val="24"/>
          <w:lang w:val="fr-FR"/>
        </w:rPr>
        <w:t xml:space="preserve"> [GC], n</w:t>
      </w:r>
      <w:r w:rsidRPr="00FD0092">
        <w:rPr>
          <w:szCs w:val="24"/>
          <w:vertAlign w:val="superscript"/>
          <w:lang w:val="fr-FR"/>
        </w:rPr>
        <w:t>o</w:t>
      </w:r>
      <w:r w:rsidRPr="00FD0092">
        <w:rPr>
          <w:szCs w:val="24"/>
          <w:lang w:val="fr-FR"/>
        </w:rPr>
        <w:t> 64886/01</w:t>
      </w:r>
      <w:r w:rsidRPr="00FD0092">
        <w:rPr>
          <w:lang w:val="fr-FR"/>
        </w:rPr>
        <w:t>, §§ 70-72,</w:t>
      </w:r>
      <w:r w:rsidRPr="00FD0092">
        <w:rPr>
          <w:szCs w:val="24"/>
          <w:lang w:val="fr-FR"/>
        </w:rPr>
        <w:t xml:space="preserve"> CEDH 2006</w:t>
      </w:r>
      <w:r w:rsidRPr="00FD0092">
        <w:rPr>
          <w:szCs w:val="24"/>
          <w:lang w:val="fr-FR"/>
        </w:rPr>
        <w:noBreakHyphen/>
        <w:t>V</w:t>
      </w:r>
      <w:r w:rsidRPr="00FD0092">
        <w:rPr>
          <w:lang w:val="fr-FR"/>
        </w:rPr>
        <w:t>).</w:t>
      </w:r>
    </w:p>
    <w:p w:rsidR="00D64D5F" w:rsidRPr="00FD0092" w:rsidRDefault="00D64D5F" w:rsidP="00FD0092">
      <w:pPr>
        <w:pStyle w:val="ECHRPara"/>
        <w:rPr>
          <w:szCs w:val="24"/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34</w:t>
      </w:r>
      <w:r w:rsidRPr="00FD0092">
        <w:fldChar w:fldCharType="end"/>
      </w:r>
      <w:r w:rsidRPr="00FD0092">
        <w:rPr>
          <w:lang w:val="fr-FR"/>
        </w:rPr>
        <w:t>.  La Cour réaffirme qu</w:t>
      </w:r>
      <w:r w:rsidR="00FD0092">
        <w:rPr>
          <w:lang w:val="fr-FR"/>
        </w:rPr>
        <w:t>’</w:t>
      </w:r>
      <w:r w:rsidRPr="00FD0092">
        <w:rPr>
          <w:lang w:val="fr-FR"/>
        </w:rPr>
        <w:t>il lui appartient tout d</w:t>
      </w:r>
      <w:r w:rsidR="00FD0092">
        <w:rPr>
          <w:lang w:val="fr-FR"/>
        </w:rPr>
        <w:t>’</w:t>
      </w:r>
      <w:r w:rsidRPr="00FD0092">
        <w:rPr>
          <w:lang w:val="fr-FR"/>
        </w:rPr>
        <w:t>abord de vérifier s</w:t>
      </w:r>
      <w:r w:rsidR="00FD0092">
        <w:rPr>
          <w:lang w:val="fr-FR"/>
        </w:rPr>
        <w:t>’</w:t>
      </w:r>
      <w:r w:rsidRPr="00FD0092">
        <w:rPr>
          <w:lang w:val="fr-FR"/>
        </w:rPr>
        <w:t>il y a eu reconnaissance par les autorités, au moins en substance, d</w:t>
      </w:r>
      <w:r w:rsidR="00FD0092">
        <w:rPr>
          <w:lang w:val="fr-FR"/>
        </w:rPr>
        <w:t>’</w:t>
      </w:r>
      <w:r w:rsidRPr="00FD0092">
        <w:rPr>
          <w:lang w:val="fr-FR"/>
        </w:rPr>
        <w:t>une violation d</w:t>
      </w:r>
      <w:r w:rsidR="00FD0092">
        <w:rPr>
          <w:lang w:val="fr-FR"/>
        </w:rPr>
        <w:t>’</w:t>
      </w:r>
      <w:r w:rsidRPr="00FD0092">
        <w:rPr>
          <w:lang w:val="fr-FR"/>
        </w:rPr>
        <w:t>un droit protégé par la Convention (</w:t>
      </w:r>
      <w:r w:rsidRPr="00FD0092">
        <w:rPr>
          <w:i/>
          <w:szCs w:val="24"/>
          <w:lang w:val="fr-FR"/>
        </w:rPr>
        <w:t xml:space="preserve">Cocchiarella c. </w:t>
      </w:r>
      <w:r w:rsidRPr="00FD0092">
        <w:rPr>
          <w:i/>
          <w:spacing w:val="-2"/>
          <w:szCs w:val="24"/>
          <w:lang w:val="fr-FR"/>
        </w:rPr>
        <w:t>Italie</w:t>
      </w:r>
      <w:r w:rsidRPr="00FD0092">
        <w:rPr>
          <w:szCs w:val="24"/>
          <w:lang w:val="fr-FR"/>
        </w:rPr>
        <w:t xml:space="preserve"> précité, § 84).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szCs w:val="24"/>
        </w:rPr>
        <w:fldChar w:fldCharType="begin"/>
      </w:r>
      <w:r w:rsidRPr="00FD0092">
        <w:rPr>
          <w:szCs w:val="24"/>
          <w:lang w:val="fr-FR"/>
        </w:rPr>
        <w:instrText xml:space="preserve"> SEQ level0 \*arabic </w:instrText>
      </w:r>
      <w:r w:rsidRPr="00FD0092">
        <w:rPr>
          <w:szCs w:val="24"/>
        </w:rPr>
        <w:fldChar w:fldCharType="separate"/>
      </w:r>
      <w:r w:rsidR="00E47277">
        <w:rPr>
          <w:noProof/>
          <w:szCs w:val="24"/>
          <w:lang w:val="fr-FR"/>
        </w:rPr>
        <w:t>35</w:t>
      </w:r>
      <w:r w:rsidRPr="00FD0092">
        <w:rPr>
          <w:szCs w:val="24"/>
        </w:rPr>
        <w:fldChar w:fldCharType="end"/>
      </w:r>
      <w:r w:rsidRPr="00FD0092">
        <w:rPr>
          <w:szCs w:val="24"/>
          <w:lang w:val="fr-FR"/>
        </w:rPr>
        <w:t>.  </w:t>
      </w:r>
      <w:r w:rsidRPr="00FD0092">
        <w:rPr>
          <w:lang w:val="fr-FR"/>
        </w:rPr>
        <w:t>Elle relève que par ses arrêts n</w:t>
      </w:r>
      <w:r w:rsidRPr="00FD0092">
        <w:rPr>
          <w:vertAlign w:val="superscript"/>
          <w:lang w:val="fr-FR"/>
        </w:rPr>
        <w:t>os</w:t>
      </w:r>
      <w:r w:rsidRPr="00FD0092">
        <w:rPr>
          <w:lang w:val="fr-FR"/>
        </w:rPr>
        <w:t xml:space="preserve"> 348 et 349 de 2007, la Cour Constitutionnelle italienne a déclaré l</w:t>
      </w:r>
      <w:r w:rsidR="00FD0092">
        <w:rPr>
          <w:lang w:val="fr-FR"/>
        </w:rPr>
        <w:t>’</w:t>
      </w:r>
      <w:r w:rsidRPr="00FD0092">
        <w:rPr>
          <w:lang w:val="fr-FR" w:eastAsia="en-GB"/>
        </w:rPr>
        <w:t xml:space="preserve">inconstitutionnalité </w:t>
      </w:r>
      <w:r w:rsidRPr="00FD0092">
        <w:rPr>
          <w:lang w:val="fr-FR"/>
        </w:rPr>
        <w:t xml:space="preserve">de </w:t>
      </w:r>
      <w:r w:rsidRPr="00FD0092">
        <w:rPr>
          <w:lang w:val="fr-FR" w:eastAsia="en-GB"/>
        </w:rPr>
        <w:t>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 xml:space="preserve">article 5 </w:t>
      </w:r>
      <w:r w:rsidRPr="00FD0092">
        <w:rPr>
          <w:i/>
          <w:lang w:val="fr-FR" w:eastAsia="en-GB"/>
        </w:rPr>
        <w:t>bis</w:t>
      </w:r>
      <w:r w:rsidRPr="00FD0092">
        <w:rPr>
          <w:lang w:val="fr-FR" w:eastAsia="en-GB"/>
        </w:rPr>
        <w:t xml:space="preserve"> du décret-loi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> 333 du 11 juillet 1992, tel que modifié par la loi 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 w:eastAsia="en-GB"/>
        </w:rPr>
        <w:t xml:space="preserve"> 662 de 1996,</w:t>
      </w:r>
      <w:r w:rsidRPr="00FD0092">
        <w:rPr>
          <w:lang w:val="fr-FR"/>
        </w:rPr>
        <w:t xml:space="preserve"> puisque contraire à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1, tel qu</w:t>
      </w:r>
      <w:r w:rsidR="00FD0092">
        <w:rPr>
          <w:lang w:val="fr-FR"/>
        </w:rPr>
        <w:t>’</w:t>
      </w:r>
      <w:r w:rsidRPr="00FD0092">
        <w:rPr>
          <w:lang w:val="fr-FR"/>
        </w:rPr>
        <w:t>interprété par la jurisprudence de la Cour. Par la suite, la loi de finances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244 de 2007 a établi que les propriétaires expropriés doivent obtenir un dédommagement correspondant à la valeur entière du bien, aucune réduction n</w:t>
      </w:r>
      <w:r w:rsidR="00FD0092">
        <w:rPr>
          <w:lang w:val="fr-FR"/>
        </w:rPr>
        <w:t>’</w:t>
      </w:r>
      <w:r w:rsidRPr="00FD0092">
        <w:rPr>
          <w:lang w:val="fr-FR"/>
        </w:rPr>
        <w:t>étant plus admise.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36</w:t>
      </w:r>
      <w:r w:rsidRPr="00FD0092">
        <w:fldChar w:fldCharType="end"/>
      </w:r>
      <w:r w:rsidRPr="00FD0092">
        <w:rPr>
          <w:lang w:val="fr-FR"/>
        </w:rPr>
        <w:t>.  En faisant application de ces principes,</w:t>
      </w:r>
      <w:r w:rsidRPr="00FD0092">
        <w:rPr>
          <w:b/>
          <w:lang w:val="fr-FR"/>
        </w:rPr>
        <w:t xml:space="preserve"> </w:t>
      </w:r>
      <w:r w:rsidRPr="00FD0092">
        <w:rPr>
          <w:lang w:val="fr-FR"/>
        </w:rPr>
        <w:t>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de Catane a estimé en substance que l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indirecte du terrain des requérants était contraire à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 de la Convention, tel qu</w:t>
      </w:r>
      <w:r w:rsidR="00FD0092">
        <w:rPr>
          <w:lang w:val="fr-FR"/>
        </w:rPr>
        <w:t>’</w:t>
      </w:r>
      <w:r w:rsidRPr="00FD0092">
        <w:rPr>
          <w:lang w:val="fr-FR"/>
        </w:rPr>
        <w:t>interprété par la jurisprudence de la Cour, et entraînait une violation du droit de propriété des requérants et une obligation pour l</w:t>
      </w:r>
      <w:r w:rsidR="00FD0092">
        <w:rPr>
          <w:lang w:val="fr-FR"/>
        </w:rPr>
        <w:t>’</w:t>
      </w:r>
      <w:r w:rsidRPr="00FD0092">
        <w:rPr>
          <w:lang w:val="fr-FR"/>
        </w:rPr>
        <w:t>administration de réparer la violation.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condamna dès lors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administration </w:t>
      </w:r>
      <w:r w:rsidRPr="00FD0092">
        <w:rPr>
          <w:snapToGrid w:val="0"/>
          <w:lang w:val="fr-FR"/>
        </w:rPr>
        <w:t xml:space="preserve">à </w:t>
      </w:r>
      <w:r w:rsidRPr="00FD0092">
        <w:rPr>
          <w:lang w:val="fr-FR"/>
        </w:rPr>
        <w:t>verser aux requérants une indemnisation correspondant à la valeur vénale du terrain, plus réévaluation et intérêts.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37</w:t>
      </w:r>
      <w:r w:rsidRPr="00FD0092">
        <w:fldChar w:fldCharType="end"/>
      </w:r>
      <w:r w:rsidRPr="00FD0092">
        <w:rPr>
          <w:lang w:val="fr-FR"/>
        </w:rPr>
        <w:t>.  La Cour estime que les juridictions internes ont constaté en substance la violation du droit de propriété des requérants. En outre, elle considère que le redressement reconnu par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de Catane, conforme aux critères de calcul établis par la Cour dans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arrêt </w:t>
      </w:r>
      <w:r w:rsidRPr="00FD0092">
        <w:rPr>
          <w:i/>
          <w:lang w:val="fr-FR"/>
        </w:rPr>
        <w:t>Guiso Gallisay</w:t>
      </w:r>
      <w:r w:rsidRPr="00FD0092">
        <w:rPr>
          <w:lang w:val="fr-FR"/>
        </w:rPr>
        <w:t xml:space="preserve"> (</w:t>
      </w:r>
      <w:r w:rsidR="00972295" w:rsidRPr="00FD0092">
        <w:rPr>
          <w:lang w:val="fr-FR"/>
        </w:rPr>
        <w:t>précité, § </w:t>
      </w:r>
      <w:r w:rsidRPr="00FD0092">
        <w:rPr>
          <w:lang w:val="fr-FR"/>
        </w:rPr>
        <w:t>105), constitue un redressement approprié et suffisant.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38</w:t>
      </w:r>
      <w:r w:rsidRPr="00FD0092">
        <w:fldChar w:fldCharType="end"/>
      </w:r>
      <w:r w:rsidRPr="00FD0092">
        <w:rPr>
          <w:lang w:val="fr-FR"/>
        </w:rPr>
        <w:t>.  A la lumière de ces considérations, les requérants ne peuvent plus se prétendre victimes de la violation alléguée au sens de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article 34 de la Convention (voir </w:t>
      </w:r>
      <w:r w:rsidRPr="00FD0092">
        <w:rPr>
          <w:i/>
          <w:lang w:val="fr-FR"/>
        </w:rPr>
        <w:t>Armando Iannelli c. Italie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24818/03</w:t>
      </w:r>
      <w:r w:rsidRPr="00FD0092">
        <w:rPr>
          <w:snapToGrid w:val="0"/>
          <w:lang w:val="fr-FR"/>
        </w:rPr>
        <w:t xml:space="preserve">, 12 </w:t>
      </w:r>
      <w:r w:rsidRPr="00FD0092">
        <w:rPr>
          <w:lang w:val="fr-FR"/>
        </w:rPr>
        <w:t>février</w:t>
      </w:r>
      <w:r w:rsidRPr="00FD0092">
        <w:rPr>
          <w:snapToGrid w:val="0"/>
          <w:lang w:val="fr-FR"/>
        </w:rPr>
        <w:t xml:space="preserve"> 2013 ; </w:t>
      </w:r>
      <w:r w:rsidRPr="00FD0092">
        <w:rPr>
          <w:i/>
          <w:lang w:val="fr-FR"/>
        </w:rPr>
        <w:t>Holzinger c. Autriche</w:t>
      </w:r>
      <w:r w:rsidRPr="00FD0092">
        <w:rPr>
          <w:lang w:val="fr-FR"/>
        </w:rPr>
        <w:t xml:space="preserve"> (n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> 1),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23459/94, § 21, CEDH 2001</w:t>
      </w:r>
      <w:r w:rsidRPr="00FD0092">
        <w:rPr>
          <w:lang w:val="fr-FR"/>
        </w:rPr>
        <w:noBreakHyphen/>
        <w:t>I).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39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 xml:space="preserve">.  Par conséquent, ce grief est incompatible </w:t>
      </w:r>
      <w:r w:rsidRPr="00FD0092">
        <w:rPr>
          <w:i/>
          <w:lang w:val="fr-FR"/>
        </w:rPr>
        <w:t>ratione personae</w:t>
      </w:r>
      <w:r w:rsidRPr="00FD0092">
        <w:rPr>
          <w:lang w:val="fr-FR"/>
        </w:rPr>
        <w:t xml:space="preserve"> avec les dispositions de la Convention au sens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35 § 3 et doit être rejetée en vertu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35 § 4.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40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En ce qui concerne le grief portant sur la réduction du montant de l</w:t>
      </w:r>
      <w:r w:rsidR="00FD0092">
        <w:rPr>
          <w:lang w:val="fr-FR"/>
        </w:rPr>
        <w:t>’</w:t>
      </w:r>
      <w:r w:rsidRPr="00FD0092">
        <w:rPr>
          <w:lang w:val="fr-FR"/>
        </w:rPr>
        <w:t>indemnité d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en raison de l</w:t>
      </w:r>
      <w:r w:rsidR="00FD0092">
        <w:rPr>
          <w:lang w:val="fr-FR"/>
        </w:rPr>
        <w:t>’</w:t>
      </w:r>
      <w:r w:rsidRPr="00FD0092">
        <w:rPr>
          <w:lang w:val="fr-FR"/>
        </w:rPr>
        <w:t>application de l</w:t>
      </w:r>
      <w:r w:rsidR="00FD0092">
        <w:rPr>
          <w:lang w:val="fr-FR"/>
        </w:rPr>
        <w:t>’</w:t>
      </w:r>
      <w:r w:rsidRPr="00FD0092">
        <w:rPr>
          <w:lang w:val="fr-FR"/>
        </w:rPr>
        <w:t>impôt prévu par la loi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413 de 1991, la Cour note que les requérants ont omis</w:t>
      </w:r>
      <w:r w:rsidRPr="00FD0092">
        <w:rPr>
          <w:lang w:val="fr-FR" w:eastAsia="en-GB"/>
        </w:rPr>
        <w:t xml:space="preserve">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informer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issue de la procédure devant les juridictions fiscales.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41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Par conséquent, même à supposer que les requérants aient épuisé les voies de recours internes, la Cour estime que ce grief n</w:t>
      </w:r>
      <w:r w:rsidR="00FD0092">
        <w:rPr>
          <w:lang w:val="fr-FR"/>
        </w:rPr>
        <w:t>’</w:t>
      </w:r>
      <w:r w:rsidRPr="00FD0092">
        <w:rPr>
          <w:lang w:val="fr-FR"/>
        </w:rPr>
        <w:t>est pas suffisamment étayé. Partant, ce grief doit lui aussi être déclaré irrecevable en application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35 §§ 3 et 4 de la Convention.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II.  SUR LA VIOLATION ALLÉGUÉE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 EN RAISON DU DÉFAUT D</w:t>
      </w:r>
      <w:r w:rsidR="00FD0092">
        <w:rPr>
          <w:lang w:val="fr-FR"/>
        </w:rPr>
        <w:t>’</w:t>
      </w:r>
      <w:r w:rsidRPr="00FD0092">
        <w:rPr>
          <w:lang w:val="fr-FR"/>
        </w:rPr>
        <w:t>ÉQUITÉ DE LA PROCÉDURE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42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Les requérants se plaignent également de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application à leur cause de la loi </w:t>
      </w:r>
      <w:r w:rsidRPr="00FD0092">
        <w:rPr>
          <w:lang w:val="fr-FR" w:eastAsia="en-GB"/>
        </w:rPr>
        <w:t>n</w:t>
      </w:r>
      <w:r w:rsidRPr="00FD0092">
        <w:rPr>
          <w:vertAlign w:val="superscript"/>
          <w:lang w:val="fr-FR" w:eastAsia="en-GB"/>
        </w:rPr>
        <w:t>o</w:t>
      </w:r>
      <w:r w:rsidRPr="00FD0092">
        <w:rPr>
          <w:lang w:val="fr-FR"/>
        </w:rPr>
        <w:t xml:space="preserve"> 662 de 1996, entrée en vigueur en cours de procédure et de ses répercussions sur le dédommagement sous l</w:t>
      </w:r>
      <w:r w:rsidR="00FD0092">
        <w:rPr>
          <w:lang w:val="fr-FR"/>
        </w:rPr>
        <w:t>’</w:t>
      </w:r>
      <w:r w:rsidRPr="00FD0092">
        <w:rPr>
          <w:lang w:val="fr-FR"/>
        </w:rPr>
        <w:t>angle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Convention, qui, dans ses parties pertinentes, se lit ainsi :</w:t>
      </w:r>
    </w:p>
    <w:p w:rsidR="00D64D5F" w:rsidRPr="00FD0092" w:rsidRDefault="00D64D5F" w:rsidP="00FD0092">
      <w:pPr>
        <w:pStyle w:val="ECHRParaQuote"/>
        <w:rPr>
          <w:lang w:val="fr-FR"/>
        </w:rPr>
      </w:pPr>
      <w:r w:rsidRPr="00FD0092">
        <w:rPr>
          <w:lang w:val="fr-FR"/>
        </w:rPr>
        <w:t>« Toute personne a droit à ce que sa cause soit entendue équitablement (...) par un tribunal (...), qui décidera (...) des contestations sur ses droits et obligations de caractère civil (...) »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43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La Cour estime que ce grief est étroitement lié à celui tiré de l</w:t>
      </w:r>
      <w:r w:rsidR="00FD0092">
        <w:rPr>
          <w:lang w:val="fr-FR"/>
        </w:rPr>
        <w:t>’</w:t>
      </w:r>
      <w:r w:rsidRPr="00FD0092">
        <w:rPr>
          <w:lang w:val="fr-FR"/>
        </w:rPr>
        <w:t>article</w:t>
      </w:r>
      <w:r w:rsidR="0079083E" w:rsidRPr="00FD0092">
        <w:rPr>
          <w:lang w:val="fr-FR"/>
        </w:rPr>
        <w:t> </w:t>
      </w:r>
      <w:r w:rsidRPr="00FD0092">
        <w:rPr>
          <w:lang w:val="fr-FR"/>
        </w:rPr>
        <w:t>1 du Protocole n</w:t>
      </w:r>
      <w:r w:rsidRPr="00FD0092">
        <w:rPr>
          <w:vertAlign w:val="superscript"/>
          <w:lang w:val="fr-FR"/>
        </w:rPr>
        <w:t>o</w:t>
      </w:r>
      <w:r w:rsidR="0079083E" w:rsidRPr="00FD0092">
        <w:rPr>
          <w:vertAlign w:val="superscript"/>
          <w:lang w:val="fr-FR"/>
        </w:rPr>
        <w:t xml:space="preserve"> </w:t>
      </w:r>
      <w:r w:rsidRPr="00FD0092">
        <w:rPr>
          <w:lang w:val="fr-FR"/>
        </w:rPr>
        <w:t>1 de la Convention, examiné ci-dessus</w:t>
      </w:r>
      <w:r w:rsidRPr="00FD0092">
        <w:rPr>
          <w:lang w:val="fr-FR" w:eastAsia="en-GB"/>
        </w:rPr>
        <w:t>,</w:t>
      </w:r>
      <w:r w:rsidRPr="00FD0092">
        <w:rPr>
          <w:lang w:val="fr-FR"/>
        </w:rPr>
        <w:t xml:space="preserve"> et qu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il doit par conséquent être déclaré irrecevable étant incompatible </w:t>
      </w:r>
      <w:r w:rsidRPr="00FD0092">
        <w:rPr>
          <w:i/>
          <w:lang w:val="fr-FR"/>
        </w:rPr>
        <w:t>ratione personae</w:t>
      </w:r>
      <w:r w:rsidRPr="00FD0092">
        <w:rPr>
          <w:lang w:val="fr-FR"/>
        </w:rPr>
        <w:t xml:space="preserve"> avec les dispositions de la Convention au sens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35 § 3.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III.  SUR LA VIOLATION ALLÉGUÉE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 EN RAISON DE LA DURÉE DE LA PROCÉDURE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44</w:t>
      </w:r>
      <w:r w:rsidRPr="00FD0092">
        <w:fldChar w:fldCharType="end"/>
      </w:r>
      <w:r w:rsidRPr="00FD0092">
        <w:rPr>
          <w:lang w:val="fr-FR"/>
        </w:rPr>
        <w:t>.  Invoquant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Convention, les requérants se plaignent de la durée de la procédure devant le tribunal de Caltagirone et notamment de l</w:t>
      </w:r>
      <w:r w:rsidR="00FD0092">
        <w:rPr>
          <w:lang w:val="fr-FR"/>
        </w:rPr>
        <w:t>’</w:t>
      </w:r>
      <w:r w:rsidRPr="00FD0092">
        <w:rPr>
          <w:lang w:val="fr-FR"/>
        </w:rPr>
        <w:t>insuffisance du remède « Pinto ».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dans ses parties pertinentes se lit ainsi:</w:t>
      </w:r>
    </w:p>
    <w:p w:rsidR="00D64D5F" w:rsidRPr="00FD0092" w:rsidRDefault="00D64D5F" w:rsidP="00FD0092">
      <w:pPr>
        <w:pStyle w:val="ECHRPara"/>
        <w:rPr>
          <w:sz w:val="20"/>
          <w:lang w:val="fr-FR"/>
        </w:rPr>
      </w:pPr>
      <w:r w:rsidRPr="00FD0092">
        <w:rPr>
          <w:sz w:val="20"/>
          <w:lang w:val="fr-FR"/>
        </w:rPr>
        <w:t>« Toute personne a droit à ce que sa cause soit entendue (...) dans un délai raisonnable, par un tribunal (...), qui décidera (...) des contestations sur ses droits et obligations de caractère civil (...) ».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45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La Cour note tout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abord que les requérants ont soulevé le grief tiré de la durée de celle-ci devant la cour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appel compétente au sens de la loi « Pinto ». Toutefois, elle remarque que les requérants ont introduit ce grief devant la Cour le 20 août 2004, alors que la décision de la cour d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 xml:space="preserve">appel de Messine est devenue définitive le </w:t>
      </w:r>
      <w:r w:rsidRPr="00FD0092">
        <w:rPr>
          <w:lang w:val="fr-FR"/>
        </w:rPr>
        <w:t>6 décembre 2003</w:t>
      </w:r>
      <w:r w:rsidRPr="00FD0092">
        <w:rPr>
          <w:lang w:val="fr-FR" w:eastAsia="en-GB"/>
        </w:rPr>
        <w:t>.</w:t>
      </w:r>
    </w:p>
    <w:p w:rsidR="00D64D5F" w:rsidRPr="00FD0092" w:rsidRDefault="00D64D5F" w:rsidP="00FD0092">
      <w:pPr>
        <w:pStyle w:val="ECHRPara"/>
        <w:rPr>
          <w:b/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46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>.  </w:t>
      </w:r>
      <w:r w:rsidRPr="00FD0092">
        <w:rPr>
          <w:lang w:val="fr-FR"/>
        </w:rPr>
        <w:t>Il s</w:t>
      </w:r>
      <w:r w:rsidR="00FD0092">
        <w:rPr>
          <w:lang w:val="fr-FR"/>
        </w:rPr>
        <w:t>’</w:t>
      </w:r>
      <w:r w:rsidRPr="00FD0092">
        <w:rPr>
          <w:lang w:val="fr-FR"/>
        </w:rPr>
        <w:t>ensuit que ce grief est tardif et doit être rejeté en application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35 §§ 1 et 4 de la Convention.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IV.  SUR LES VIOLATIONS ALLÉGUÉES DES ARTICLES 6 § 1 ET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 </w:t>
      </w:r>
      <w:r w:rsidRPr="00FD0092">
        <w:rPr>
          <w:caps/>
          <w:lang w:val="fr-FR"/>
        </w:rPr>
        <w:t>EN raison DU RETARD DANS LE PAIEMENT DE L</w:t>
      </w:r>
      <w:r w:rsidR="00FD0092">
        <w:rPr>
          <w:caps/>
          <w:lang w:val="fr-FR"/>
        </w:rPr>
        <w:t>’</w:t>
      </w:r>
      <w:r w:rsidRPr="00FD0092">
        <w:rPr>
          <w:caps/>
          <w:lang w:val="fr-FR"/>
        </w:rPr>
        <w:t>INDEMNISATION « PINTO »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47</w:t>
      </w:r>
      <w:r w:rsidRPr="00FD0092">
        <w:fldChar w:fldCharType="end"/>
      </w:r>
      <w:r w:rsidRPr="00FD0092">
        <w:rPr>
          <w:lang w:val="fr-FR"/>
        </w:rPr>
        <w:t>.  Invoquant les articles 6 § 1 et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1, les requérants se plaignent du retard mis par les autorités nationales à se conformer à la décision « Pinto » et de ce qu</w:t>
      </w:r>
      <w:r w:rsidR="00FD0092">
        <w:rPr>
          <w:lang w:val="fr-FR"/>
        </w:rPr>
        <w:t>’</w:t>
      </w:r>
      <w:r w:rsidRPr="00FD0092">
        <w:rPr>
          <w:lang w:val="fr-FR"/>
        </w:rPr>
        <w:t>ils ont été obligés d</w:t>
      </w:r>
      <w:r w:rsidR="00FD0092">
        <w:rPr>
          <w:lang w:val="fr-FR"/>
        </w:rPr>
        <w:t>’</w:t>
      </w:r>
      <w:r w:rsidRPr="00FD0092">
        <w:rPr>
          <w:lang w:val="fr-FR"/>
        </w:rPr>
        <w:t>introduire une procédure d</w:t>
      </w:r>
      <w:r w:rsidR="00FD0092">
        <w:rPr>
          <w:lang w:val="fr-FR"/>
        </w:rPr>
        <w:t>’</w:t>
      </w:r>
      <w:r w:rsidRPr="00FD0092">
        <w:rPr>
          <w:lang w:val="fr-FR"/>
        </w:rPr>
        <w:t>exécution.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et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 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 sont cités aux paragraphes 42 et 28 ci-dessus.</w:t>
      </w:r>
    </w:p>
    <w:p w:rsidR="00D64D5F" w:rsidRPr="00FD0092" w:rsidRDefault="00D64D5F" w:rsidP="00FD0092">
      <w:pPr>
        <w:pStyle w:val="ECHRHeading2"/>
        <w:rPr>
          <w:lang w:val="fr-FR"/>
        </w:rPr>
      </w:pPr>
      <w:r w:rsidRPr="00FD0092">
        <w:rPr>
          <w:lang w:val="fr-FR"/>
        </w:rPr>
        <w:t>A.  Sur la recevabilité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48</w:t>
      </w:r>
      <w:r w:rsidRPr="00FD0092">
        <w:fldChar w:fldCharType="end"/>
      </w:r>
      <w:r w:rsidRPr="00FD0092">
        <w:rPr>
          <w:lang w:val="fr-FR"/>
        </w:rPr>
        <w:t>.  Le Gouvernement considère, tout d</w:t>
      </w:r>
      <w:r w:rsidR="00FD0092">
        <w:rPr>
          <w:lang w:val="fr-FR"/>
        </w:rPr>
        <w:t>’</w:t>
      </w:r>
      <w:r w:rsidRPr="00FD0092">
        <w:rPr>
          <w:lang w:val="fr-FR"/>
        </w:rPr>
        <w:t>abord, que les requérants ne sont plus « victimes » de la violation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 car le retard litigieux a été compensé par l</w:t>
      </w:r>
      <w:r w:rsidR="00FD0092">
        <w:rPr>
          <w:lang w:val="fr-FR"/>
        </w:rPr>
        <w:t>’</w:t>
      </w:r>
      <w:r w:rsidRPr="00FD0092">
        <w:rPr>
          <w:lang w:val="fr-FR"/>
        </w:rPr>
        <w:t>octroi d</w:t>
      </w:r>
      <w:r w:rsidR="00FD0092">
        <w:rPr>
          <w:lang w:val="fr-FR"/>
        </w:rPr>
        <w:t>’</w:t>
      </w:r>
      <w:r w:rsidRPr="00FD0092">
        <w:rPr>
          <w:lang w:val="fr-FR"/>
        </w:rPr>
        <w:t>intérêts moratoires et, le cas échéant, de frais et dépens encourus dans la procédure d</w:t>
      </w:r>
      <w:r w:rsidR="00FD0092">
        <w:rPr>
          <w:lang w:val="fr-FR"/>
        </w:rPr>
        <w:t>’</w:t>
      </w:r>
      <w:r w:rsidRPr="00FD0092">
        <w:rPr>
          <w:lang w:val="fr-FR"/>
        </w:rPr>
        <w:t>exécution forcée.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49</w:t>
      </w:r>
      <w:r w:rsidRPr="00FD0092">
        <w:fldChar w:fldCharType="end"/>
      </w:r>
      <w:r w:rsidRPr="00FD0092">
        <w:rPr>
          <w:lang w:val="fr-FR"/>
        </w:rPr>
        <w:t>.  À l</w:t>
      </w:r>
      <w:r w:rsidR="00FD0092">
        <w:rPr>
          <w:lang w:val="fr-FR"/>
        </w:rPr>
        <w:t>’</w:t>
      </w:r>
      <w:r w:rsidRPr="00FD0092">
        <w:rPr>
          <w:lang w:val="fr-FR"/>
        </w:rPr>
        <w:t>appui, le Gouvernement avance des arguments que la Cour a déjà rejetés, en dernier lieu, dans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arrêt </w:t>
      </w:r>
      <w:r w:rsidRPr="00FD0092">
        <w:rPr>
          <w:i/>
          <w:lang w:val="fr-FR"/>
        </w:rPr>
        <w:t>Belperio et Ciarmoli c. Italie</w:t>
      </w:r>
      <w:r w:rsidRPr="00FD0092">
        <w:rPr>
          <w:lang w:val="fr-FR"/>
        </w:rPr>
        <w:t xml:space="preserve"> (n  7932/04, 21 décembre 2010).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50</w:t>
      </w:r>
      <w:r w:rsidRPr="00FD0092">
        <w:fldChar w:fldCharType="end"/>
      </w:r>
      <w:r w:rsidRPr="00FD0092">
        <w:rPr>
          <w:lang w:val="fr-FR"/>
        </w:rPr>
        <w:t>.  N</w:t>
      </w:r>
      <w:r w:rsidR="00FD0092">
        <w:rPr>
          <w:lang w:val="fr-FR"/>
        </w:rPr>
        <w:t>’</w:t>
      </w:r>
      <w:r w:rsidRPr="00FD0092">
        <w:rPr>
          <w:lang w:val="fr-FR"/>
        </w:rPr>
        <w:t>apercevant aucun motif de déroger à cette approche, la Cour rejette l</w:t>
      </w:r>
      <w:r w:rsidR="00FD0092">
        <w:rPr>
          <w:lang w:val="fr-FR"/>
        </w:rPr>
        <w:t>’</w:t>
      </w:r>
      <w:r w:rsidRPr="00FD0092">
        <w:rPr>
          <w:lang w:val="fr-FR"/>
        </w:rPr>
        <w:t>exception soulevée par le Gouvernement et considère que les requérants peuvent toujours se prétendre « victimes », au sens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34 de la Convention.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51</w:t>
      </w:r>
      <w:r w:rsidRPr="00FD0092">
        <w:fldChar w:fldCharType="end"/>
      </w:r>
      <w:r w:rsidRPr="00FD0092">
        <w:rPr>
          <w:lang w:val="fr-FR"/>
        </w:rPr>
        <w:t>.  Ensuite, le Gouvernement excipe du non-épuisement des voies de recours internes, en ce que les requérants n</w:t>
      </w:r>
      <w:r w:rsidR="00FD0092">
        <w:rPr>
          <w:lang w:val="fr-FR"/>
        </w:rPr>
        <w:t>’</w:t>
      </w:r>
      <w:r w:rsidRPr="00FD0092">
        <w:rPr>
          <w:lang w:val="fr-FR"/>
        </w:rPr>
        <w:t>ont pas intenté une deuxième procédure « Pinto » pour se plaindre du retard dans le paiement de la somme Pinto.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52</w:t>
      </w:r>
      <w:r w:rsidRPr="00FD0092">
        <w:fldChar w:fldCharType="end"/>
      </w:r>
      <w:r w:rsidRPr="00FD0092">
        <w:rPr>
          <w:lang w:val="fr-FR"/>
        </w:rPr>
        <w:t xml:space="preserve">.  La Cour a déjà considéré à plusieurs reprises (voir, notamment, </w:t>
      </w:r>
      <w:r w:rsidRPr="00FD0092">
        <w:rPr>
          <w:i/>
          <w:iCs/>
          <w:lang w:val="fr-FR"/>
        </w:rPr>
        <w:t>Simaldone c. Italie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22644/03, § 44, 31 mars 2009) qu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exiger du requérant un nouveau recours « Pinto » </w:t>
      </w:r>
      <w:bookmarkStart w:id="3" w:name="OLE_LINK2"/>
      <w:bookmarkEnd w:id="3"/>
      <w:r w:rsidRPr="00FD0092">
        <w:rPr>
          <w:lang w:val="fr-FR"/>
        </w:rPr>
        <w:t>pour se plaindre de la durée de l</w:t>
      </w:r>
      <w:r w:rsidR="00FD0092">
        <w:rPr>
          <w:lang w:val="fr-FR"/>
        </w:rPr>
        <w:t>’</w:t>
      </w:r>
      <w:r w:rsidRPr="00FD0092">
        <w:rPr>
          <w:lang w:val="fr-FR"/>
        </w:rPr>
        <w:t>exécution de la décision « Pinto » reviendrait à enfermer le requérant dans un cercle vicieux où le dysfonctionnement d</w:t>
      </w:r>
      <w:r w:rsidR="00FD0092">
        <w:rPr>
          <w:lang w:val="fr-FR"/>
        </w:rPr>
        <w:t>’</w:t>
      </w:r>
      <w:r w:rsidRPr="00FD0092">
        <w:rPr>
          <w:lang w:val="fr-FR"/>
        </w:rPr>
        <w:t>un remède l</w:t>
      </w:r>
      <w:r w:rsidR="00FD0092">
        <w:rPr>
          <w:lang w:val="fr-FR"/>
        </w:rPr>
        <w:t>’</w:t>
      </w:r>
      <w:r w:rsidRPr="00FD0092">
        <w:rPr>
          <w:lang w:val="fr-FR"/>
        </w:rPr>
        <w:t>obligerait à en entamer un autre. Une telle conclusion serait déraisonnable et constituerait un obstacle disproportionné à l</w:t>
      </w:r>
      <w:r w:rsidR="00FD0092">
        <w:rPr>
          <w:lang w:val="fr-FR"/>
        </w:rPr>
        <w:t>’</w:t>
      </w:r>
      <w:r w:rsidRPr="00FD0092">
        <w:rPr>
          <w:lang w:val="fr-FR"/>
        </w:rPr>
        <w:t>exercice efficace par les requérants de son droit de recours individuel, tel que défini à l</w:t>
      </w:r>
      <w:r w:rsidR="00FD0092">
        <w:rPr>
          <w:lang w:val="fr-FR"/>
        </w:rPr>
        <w:t>’</w:t>
      </w:r>
      <w:r w:rsidRPr="00FD0092">
        <w:rPr>
          <w:lang w:val="fr-FR"/>
        </w:rPr>
        <w:t>article 34 de la Convention (voir,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arrêt </w:t>
      </w:r>
      <w:r w:rsidRPr="00FD0092">
        <w:rPr>
          <w:i/>
          <w:iCs/>
          <w:lang w:val="fr-FR"/>
        </w:rPr>
        <w:t>Pedicini et autres c. Italie</w:t>
      </w:r>
      <w:r w:rsidRPr="00FD0092">
        <w:rPr>
          <w:lang w:val="fr-FR"/>
        </w:rPr>
        <w:t xml:space="preserve"> [comité],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48117/99, § 30, 25 septembre 2012). Dès lors, il y a lieu de rejeter l</w:t>
      </w:r>
      <w:r w:rsidR="00FD0092">
        <w:rPr>
          <w:lang w:val="fr-FR"/>
        </w:rPr>
        <w:t>’</w:t>
      </w:r>
      <w:r w:rsidRPr="00FD0092">
        <w:rPr>
          <w:lang w:val="fr-FR"/>
        </w:rPr>
        <w:t>exception soulevée par le Gouvernement.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53</w:t>
      </w:r>
      <w:r w:rsidRPr="00FD0092">
        <w:fldChar w:fldCharType="end"/>
      </w:r>
      <w:r w:rsidRPr="00FD0092">
        <w:rPr>
          <w:lang w:val="fr-FR"/>
        </w:rPr>
        <w:t>.  Le Gouvernement soulève, enfin, une exception tirée de l</w:t>
      </w:r>
      <w:r w:rsidR="00FD0092">
        <w:rPr>
          <w:lang w:val="fr-FR"/>
        </w:rPr>
        <w:t>’</w:t>
      </w:r>
      <w:r w:rsidRPr="00FD0092">
        <w:rPr>
          <w:lang w:val="fr-FR"/>
        </w:rPr>
        <w:t>absence de préjudice important pour les requérants, au motif qu</w:t>
      </w:r>
      <w:r w:rsidR="00FD0092">
        <w:rPr>
          <w:lang w:val="fr-FR"/>
        </w:rPr>
        <w:t>’</w:t>
      </w:r>
      <w:r w:rsidRPr="00FD0092">
        <w:rPr>
          <w:lang w:val="fr-FR"/>
        </w:rPr>
        <w:t>il a obtenu des intérêts moratoires pour le retard dans le paiement de la somme Pinto et, en tout état de cause, qu</w:t>
      </w:r>
      <w:r w:rsidR="00FD0092">
        <w:rPr>
          <w:lang w:val="fr-FR"/>
        </w:rPr>
        <w:t>’</w:t>
      </w:r>
      <w:r w:rsidRPr="00FD0092">
        <w:rPr>
          <w:lang w:val="fr-FR"/>
        </w:rPr>
        <w:t>ils auraient pu saisir le juge national pour obtenir la compensation due pour la durée excessive de la procédure d</w:t>
      </w:r>
      <w:r w:rsidR="00FD0092">
        <w:rPr>
          <w:lang w:val="fr-FR"/>
        </w:rPr>
        <w:t>’</w:t>
      </w:r>
      <w:r w:rsidRPr="00FD0092">
        <w:rPr>
          <w:lang w:val="fr-FR"/>
        </w:rPr>
        <w:t>exécution.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54</w:t>
      </w:r>
      <w:r w:rsidRPr="00FD0092">
        <w:fldChar w:fldCharType="end"/>
      </w:r>
      <w:r w:rsidRPr="00FD0092">
        <w:rPr>
          <w:lang w:val="fr-FR"/>
        </w:rPr>
        <w:t>.  Le Gouvernement se réfère au texte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35 § 3 b) de la Convention, tel que modifié par le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14, selon lequel la Cour peut déclarer une requête irrecevable lorsque « le requérant n</w:t>
      </w:r>
      <w:r w:rsidR="00FD0092">
        <w:rPr>
          <w:lang w:val="fr-FR"/>
        </w:rPr>
        <w:t>’</w:t>
      </w:r>
      <w:r w:rsidRPr="00FD0092">
        <w:rPr>
          <w:lang w:val="fr-FR"/>
        </w:rPr>
        <w:t>a subi aucun préjudice important, sauf si le respect des droits de l</w:t>
      </w:r>
      <w:r w:rsidR="00FD0092">
        <w:rPr>
          <w:lang w:val="fr-FR"/>
        </w:rPr>
        <w:t>’</w:t>
      </w:r>
      <w:r w:rsidRPr="00FD0092">
        <w:rPr>
          <w:lang w:val="fr-FR"/>
        </w:rPr>
        <w:t>homme garantis par la Convention et ses Protocoles exige un examen de la requête au fond et à condition de ne rejeter pour ce motif aucune affaire qui n</w:t>
      </w:r>
      <w:r w:rsidR="00FD0092">
        <w:rPr>
          <w:lang w:val="fr-FR"/>
        </w:rPr>
        <w:t>’</w:t>
      </w:r>
      <w:r w:rsidRPr="00FD0092">
        <w:rPr>
          <w:lang w:val="fr-FR"/>
        </w:rPr>
        <w:t>a pas été dûment examinée par un tribunal interne ».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55</w:t>
      </w:r>
      <w:r w:rsidRPr="00FD0092">
        <w:fldChar w:fldCharType="end"/>
      </w:r>
      <w:r w:rsidRPr="00FD0092">
        <w:rPr>
          <w:lang w:val="fr-FR"/>
        </w:rPr>
        <w:t>.  Pour ce qui est de la notion de « préjudice important », la Cour tient à souligner qu</w:t>
      </w:r>
      <w:r w:rsidR="00FD0092">
        <w:rPr>
          <w:lang w:val="fr-FR"/>
        </w:rPr>
        <w:t>’</w:t>
      </w:r>
      <w:r w:rsidRPr="00FD0092">
        <w:rPr>
          <w:lang w:val="fr-FR"/>
        </w:rPr>
        <w:t>il ne découle pas automatiquement du fait que les juridictions internes auraient reconnu, puis accordé une réparation pour violation de la Convention, qu</w:t>
      </w:r>
      <w:r w:rsidR="00FD0092">
        <w:rPr>
          <w:lang w:val="fr-FR"/>
        </w:rPr>
        <w:t>’</w:t>
      </w:r>
      <w:r w:rsidRPr="00FD0092">
        <w:rPr>
          <w:lang w:val="fr-FR"/>
        </w:rPr>
        <w:t>il n</w:t>
      </w:r>
      <w:r w:rsidR="00FD0092">
        <w:rPr>
          <w:lang w:val="fr-FR"/>
        </w:rPr>
        <w:t>’</w:t>
      </w:r>
      <w:r w:rsidRPr="00FD0092">
        <w:rPr>
          <w:lang w:val="fr-FR"/>
        </w:rPr>
        <w:t>y aurait pas de « préjudice » dans le chef des requérants, comme semble le soutenir le Gouvernement défendeur. En effet, l</w:t>
      </w:r>
      <w:r w:rsidR="00FD0092">
        <w:rPr>
          <w:lang w:val="fr-FR"/>
        </w:rPr>
        <w:t>’</w:t>
      </w:r>
      <w:r w:rsidRPr="00FD0092">
        <w:rPr>
          <w:lang w:val="fr-FR"/>
        </w:rPr>
        <w:t>évaluation au sujet de l</w:t>
      </w:r>
      <w:r w:rsidR="00FD0092">
        <w:rPr>
          <w:lang w:val="fr-FR"/>
        </w:rPr>
        <w:t>’</w:t>
      </w:r>
      <w:r w:rsidRPr="00FD0092">
        <w:rPr>
          <w:lang w:val="fr-FR"/>
        </w:rPr>
        <w:t>absence d</w:t>
      </w:r>
      <w:r w:rsidR="00FD0092">
        <w:rPr>
          <w:lang w:val="fr-FR"/>
        </w:rPr>
        <w:t>’</w:t>
      </w:r>
      <w:r w:rsidRPr="00FD0092">
        <w:rPr>
          <w:lang w:val="fr-FR"/>
        </w:rPr>
        <w:t>un tel « préjudice » ne se réduit pas à une estimation purement économique.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56</w:t>
      </w:r>
      <w:r w:rsidRPr="00FD0092">
        <w:fldChar w:fldCharType="end"/>
      </w:r>
      <w:r w:rsidRPr="00FD0092">
        <w:rPr>
          <w:lang w:val="fr-FR"/>
        </w:rPr>
        <w:t>.  La Cour rappelle qu</w:t>
      </w:r>
      <w:r w:rsidR="00FD0092">
        <w:rPr>
          <w:lang w:val="fr-FR"/>
        </w:rPr>
        <w:t>’</w:t>
      </w:r>
      <w:r w:rsidRPr="00FD0092">
        <w:rPr>
          <w:lang w:val="fr-FR"/>
        </w:rPr>
        <w:t>afin de vérifier si la violation d</w:t>
      </w:r>
      <w:r w:rsidR="00FD0092">
        <w:rPr>
          <w:lang w:val="fr-FR"/>
        </w:rPr>
        <w:t>’</w:t>
      </w:r>
      <w:r w:rsidRPr="00FD0092">
        <w:rPr>
          <w:lang w:val="fr-FR"/>
        </w:rPr>
        <w:t>un droit atteint le seuil minimum de gravité, il y a lieu de prendre en compte notamment les éléments suivants : la nature du droit prétendument violé, la gravité de l</w:t>
      </w:r>
      <w:r w:rsidR="00FD0092">
        <w:rPr>
          <w:lang w:val="fr-FR"/>
        </w:rPr>
        <w:t>’</w:t>
      </w:r>
      <w:r w:rsidRPr="00FD0092">
        <w:rPr>
          <w:lang w:val="fr-FR"/>
        </w:rPr>
        <w:t>incidence de la violation alléguée dans l</w:t>
      </w:r>
      <w:r w:rsidR="00FD0092">
        <w:rPr>
          <w:lang w:val="fr-FR"/>
        </w:rPr>
        <w:t>’</w:t>
      </w:r>
      <w:r w:rsidRPr="00FD0092">
        <w:rPr>
          <w:lang w:val="fr-FR"/>
        </w:rPr>
        <w:t>exercice d</w:t>
      </w:r>
      <w:r w:rsidR="00FD0092">
        <w:rPr>
          <w:lang w:val="fr-FR"/>
        </w:rPr>
        <w:t>’</w:t>
      </w:r>
      <w:r w:rsidRPr="00FD0092">
        <w:rPr>
          <w:lang w:val="fr-FR"/>
        </w:rPr>
        <w:t>un droit ou les conséquences éventuelles de la violation sur la situation personnelle du requérant. Dans l</w:t>
      </w:r>
      <w:r w:rsidR="00FD0092">
        <w:rPr>
          <w:lang w:val="fr-FR"/>
        </w:rPr>
        <w:t>’</w:t>
      </w:r>
      <w:r w:rsidRPr="00FD0092">
        <w:rPr>
          <w:lang w:val="fr-FR"/>
        </w:rPr>
        <w:t>évaluation de ces conséquences, la Cour examinera, en particulier,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enjeu de la procédure nationale ou son issue (voir, </w:t>
      </w:r>
      <w:r w:rsidRPr="00FD0092">
        <w:rPr>
          <w:i/>
          <w:lang w:val="fr-FR"/>
        </w:rPr>
        <w:t>Giusti c. Italie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</w:t>
      </w:r>
      <w:bookmarkStart w:id="4" w:name="OLE_LINK5"/>
      <w:bookmarkStart w:id="5" w:name="OLE_LINK6"/>
      <w:bookmarkEnd w:id="4"/>
      <w:bookmarkEnd w:id="5"/>
      <w:r w:rsidRPr="00FD0092">
        <w:rPr>
          <w:lang w:val="fr-FR"/>
        </w:rPr>
        <w:t xml:space="preserve">13175/03, § 34, 18 octobre 2011 ; </w:t>
      </w:r>
      <w:r w:rsidRPr="00FD0092">
        <w:rPr>
          <w:i/>
          <w:lang w:val="fr-FR"/>
        </w:rPr>
        <w:t>Gagliardi c. Italie</w:t>
      </w:r>
      <w:r w:rsidRPr="00FD0092">
        <w:rPr>
          <w:lang w:val="fr-FR"/>
        </w:rPr>
        <w:t xml:space="preserve"> [comité],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29385/03, § 45, 16 juillet 2013).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57</w:t>
      </w:r>
      <w:r w:rsidRPr="00FD0092">
        <w:fldChar w:fldCharType="end"/>
      </w:r>
      <w:r w:rsidRPr="00FD0092">
        <w:rPr>
          <w:lang w:val="fr-FR"/>
        </w:rPr>
        <w:t>.  La Cour relève qu</w:t>
      </w:r>
      <w:r w:rsidR="00FD0092">
        <w:rPr>
          <w:lang w:val="fr-FR"/>
        </w:rPr>
        <w:t>’</w:t>
      </w:r>
      <w:r w:rsidRPr="00FD0092">
        <w:rPr>
          <w:lang w:val="fr-FR"/>
        </w:rPr>
        <w:t>en l</w:t>
      </w:r>
      <w:r w:rsidR="00FD0092">
        <w:rPr>
          <w:lang w:val="fr-FR"/>
        </w:rPr>
        <w:t>’</w:t>
      </w:r>
      <w:r w:rsidRPr="00FD0092">
        <w:rPr>
          <w:lang w:val="fr-FR"/>
        </w:rPr>
        <w:t>espèce, les requérants se plaignent du retard dans le paiement d</w:t>
      </w:r>
      <w:r w:rsidR="00FD0092">
        <w:rPr>
          <w:lang w:val="fr-FR"/>
        </w:rPr>
        <w:t>’</w:t>
      </w:r>
      <w:r w:rsidRPr="00FD0092">
        <w:rPr>
          <w:lang w:val="fr-FR"/>
        </w:rPr>
        <w:t>une somme « Pinto ». Elle relève, ensuite, que la somme Pinto a été payée un an après le dépôt au greffe de la décision de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appel, ce qui dépasse de six mois le délai pour l</w:t>
      </w:r>
      <w:r w:rsidR="00FD0092">
        <w:rPr>
          <w:lang w:val="fr-FR"/>
        </w:rPr>
        <w:t>’</w:t>
      </w:r>
      <w:r w:rsidRPr="00FD0092">
        <w:rPr>
          <w:lang w:val="fr-FR"/>
        </w:rPr>
        <w:t>exécution des décisions Pinto qui a été considéré comme acceptable par la Cour (</w:t>
      </w:r>
      <w:r w:rsidRPr="00FD0092">
        <w:rPr>
          <w:i/>
          <w:lang w:val="fr-FR"/>
        </w:rPr>
        <w:t xml:space="preserve">Gagliardi, </w:t>
      </w:r>
      <w:r w:rsidRPr="00FD0092">
        <w:rPr>
          <w:lang w:val="fr-FR"/>
        </w:rPr>
        <w:t xml:space="preserve">précité, </w:t>
      </w:r>
      <w:r w:rsidRPr="00FD0092">
        <w:rPr>
          <w:i/>
          <w:lang w:val="fr-FR"/>
        </w:rPr>
        <w:t>Cocchiarella</w:t>
      </w:r>
      <w:r w:rsidRPr="00FD0092">
        <w:rPr>
          <w:lang w:val="fr-FR"/>
        </w:rPr>
        <w:t xml:space="preserve">, précité, § 89; </w:t>
      </w:r>
      <w:r w:rsidRPr="00FD0092">
        <w:rPr>
          <w:i/>
          <w:lang w:val="fr-FR"/>
        </w:rPr>
        <w:t xml:space="preserve">Simaldone, </w:t>
      </w:r>
      <w:r w:rsidRPr="00FD0092">
        <w:rPr>
          <w:lang w:val="fr-FR"/>
        </w:rPr>
        <w:t>précité, § 48).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t>Enfin, la Cour note que le retard concerne le paiement d</w:t>
      </w:r>
      <w:r w:rsidR="00FD0092">
        <w:rPr>
          <w:lang w:val="fr-FR"/>
        </w:rPr>
        <w:t>’</w:t>
      </w:r>
      <w:r w:rsidRPr="00FD0092">
        <w:rPr>
          <w:lang w:val="fr-FR"/>
        </w:rPr>
        <w:t>une somme de 28 000 EUR (4 000 EUR pour chaque requérant) accordée par la cour d</w:t>
      </w:r>
      <w:r w:rsidR="00FD0092">
        <w:rPr>
          <w:lang w:val="fr-FR"/>
        </w:rPr>
        <w:t>’</w:t>
      </w:r>
      <w:r w:rsidRPr="00FD0092">
        <w:rPr>
          <w:lang w:val="fr-FR"/>
        </w:rPr>
        <w:t>appel Pinto en raison de la durée excessive (18 ans pour un degré) de la procédure portant sur l</w:t>
      </w:r>
      <w:r w:rsidR="00FD0092">
        <w:rPr>
          <w:lang w:val="fr-FR"/>
        </w:rPr>
        <w:t>’</w:t>
      </w:r>
      <w:r w:rsidRPr="00FD0092">
        <w:rPr>
          <w:lang w:val="fr-FR"/>
        </w:rPr>
        <w:t>expropriation illégitime du terrain des requérants.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58</w:t>
      </w:r>
      <w:r w:rsidRPr="00FD0092">
        <w:fldChar w:fldCharType="end"/>
      </w:r>
      <w:r w:rsidRPr="00FD0092">
        <w:rPr>
          <w:lang w:val="fr-FR"/>
        </w:rPr>
        <w:t>.  Compte tenu de la durée du retard dans le paiement, du montant de la somme Pinto et du fait qu</w:t>
      </w:r>
      <w:r w:rsidR="00FD0092">
        <w:rPr>
          <w:lang w:val="fr-FR"/>
        </w:rPr>
        <w:t>’</w:t>
      </w:r>
      <w:r w:rsidRPr="00FD0092">
        <w:rPr>
          <w:lang w:val="fr-FR"/>
        </w:rPr>
        <w:t>il s</w:t>
      </w:r>
      <w:r w:rsidR="00FD0092">
        <w:rPr>
          <w:lang w:val="fr-FR"/>
        </w:rPr>
        <w:t>’</w:t>
      </w:r>
      <w:r w:rsidRPr="00FD0092">
        <w:rPr>
          <w:lang w:val="fr-FR"/>
        </w:rPr>
        <w:t>agit d</w:t>
      </w:r>
      <w:r w:rsidR="00FD0092">
        <w:rPr>
          <w:lang w:val="fr-FR"/>
        </w:rPr>
        <w:t>’</w:t>
      </w:r>
      <w:r w:rsidRPr="00FD0092">
        <w:rPr>
          <w:lang w:val="fr-FR"/>
        </w:rPr>
        <w:t>une somme accordée afin de réparer une violation de la Convention, la Cour estime qu</w:t>
      </w:r>
      <w:r w:rsidR="00FD0092">
        <w:rPr>
          <w:lang w:val="fr-FR"/>
        </w:rPr>
        <w:t>’</w:t>
      </w:r>
      <w:r w:rsidRPr="00FD0092">
        <w:rPr>
          <w:lang w:val="fr-FR"/>
        </w:rPr>
        <w:t>il y a lieu de rejeter l</w:t>
      </w:r>
      <w:r w:rsidR="00FD0092">
        <w:rPr>
          <w:lang w:val="fr-FR"/>
        </w:rPr>
        <w:t>’</w:t>
      </w:r>
      <w:r w:rsidRPr="00FD0092">
        <w:rPr>
          <w:lang w:val="fr-FR"/>
        </w:rPr>
        <w:t>exception du Gouvernement.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59</w:t>
      </w:r>
      <w:r w:rsidRPr="00FD0092">
        <w:fldChar w:fldCharType="end"/>
      </w:r>
      <w:r w:rsidRPr="00FD0092">
        <w:rPr>
          <w:lang w:val="fr-FR"/>
        </w:rPr>
        <w:t>.  La Cour relève que ce grief, ainsi que celui tiré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1, ne se heurtent à aucun autre motif d</w:t>
      </w:r>
      <w:r w:rsidR="00FD0092">
        <w:rPr>
          <w:lang w:val="fr-FR"/>
        </w:rPr>
        <w:t>’</w:t>
      </w:r>
      <w:r w:rsidRPr="00FD0092">
        <w:rPr>
          <w:lang w:val="fr-FR"/>
        </w:rPr>
        <w:t>irrecevabilité et, par conséquent, elle les déclare recevables.</w:t>
      </w:r>
    </w:p>
    <w:p w:rsidR="00D64D5F" w:rsidRPr="00FD0092" w:rsidRDefault="00D64D5F" w:rsidP="00FD0092">
      <w:pPr>
        <w:pStyle w:val="ECHRHeading2"/>
        <w:rPr>
          <w:lang w:val="fr-FR"/>
        </w:rPr>
      </w:pPr>
      <w:r w:rsidRPr="00FD0092">
        <w:rPr>
          <w:lang w:val="fr-FR"/>
        </w:rPr>
        <w:t>B.  Sur le fond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60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La Cour constate que la somme octroyée a été versée plus de six mois après le dépôt de la décision « Pinto » au greffe de la cour d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appel de Messine. A la lumière des critères établis dans les arrêts </w:t>
      </w:r>
      <w:r w:rsidRPr="00FD0092">
        <w:rPr>
          <w:i/>
          <w:lang w:val="fr-FR"/>
        </w:rPr>
        <w:t xml:space="preserve">Simaldone </w:t>
      </w:r>
      <w:r w:rsidRPr="00FD0092">
        <w:rPr>
          <w:lang w:val="fr-FR"/>
        </w:rPr>
        <w:t xml:space="preserve">et </w:t>
      </w:r>
      <w:r w:rsidRPr="00FD0092">
        <w:rPr>
          <w:i/>
          <w:lang w:val="fr-FR"/>
        </w:rPr>
        <w:t>Gaglione</w:t>
      </w:r>
      <w:r w:rsidRPr="00FD0092">
        <w:rPr>
          <w:lang w:val="fr-FR"/>
        </w:rPr>
        <w:t xml:space="preserve"> </w:t>
      </w:r>
      <w:r w:rsidRPr="00FD0092">
        <w:rPr>
          <w:i/>
          <w:lang w:val="fr-FR"/>
        </w:rPr>
        <w:t>et autres</w:t>
      </w:r>
      <w:r w:rsidRPr="00FD0092">
        <w:rPr>
          <w:lang w:val="fr-FR"/>
        </w:rPr>
        <w:t xml:space="preserve"> (précités), la Cour considère que ce retard constitue une violation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61</w:t>
      </w:r>
      <w:r w:rsidRPr="00FD0092">
        <w:fldChar w:fldCharType="end"/>
      </w:r>
      <w:r w:rsidRPr="00FD0092">
        <w:rPr>
          <w:lang w:val="fr-FR"/>
        </w:rPr>
        <w:t>.  Au vu de ce qui précède, la Cour estime qu</w:t>
      </w:r>
      <w:r w:rsidR="00FD0092">
        <w:rPr>
          <w:lang w:val="fr-FR"/>
        </w:rPr>
        <w:t>’</w:t>
      </w:r>
      <w:r w:rsidRPr="00FD0092">
        <w:rPr>
          <w:lang w:val="fr-FR"/>
        </w:rPr>
        <w:t>il n</w:t>
      </w:r>
      <w:r w:rsidR="00FD0092">
        <w:rPr>
          <w:lang w:val="fr-FR"/>
        </w:rPr>
        <w:t>’</w:t>
      </w:r>
      <w:r w:rsidRPr="00FD0092">
        <w:rPr>
          <w:lang w:val="fr-FR"/>
        </w:rPr>
        <w:t>est pas nécessaire d</w:t>
      </w:r>
      <w:r w:rsidR="00FD0092">
        <w:rPr>
          <w:lang w:val="fr-FR"/>
        </w:rPr>
        <w:t>’</w:t>
      </w:r>
      <w:r w:rsidRPr="00FD0092">
        <w:rPr>
          <w:lang w:val="fr-FR"/>
        </w:rPr>
        <w:t>examiner séparément le grief formulé par les requérants sous l</w:t>
      </w:r>
      <w:r w:rsidR="00FD0092">
        <w:rPr>
          <w:lang w:val="fr-FR"/>
        </w:rPr>
        <w:t>’</w:t>
      </w:r>
      <w:r w:rsidRPr="00FD0092">
        <w:rPr>
          <w:lang w:val="fr-FR"/>
        </w:rPr>
        <w:t>angle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1 du Protocole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1 (</w:t>
      </w:r>
      <w:r w:rsidRPr="00FD0092">
        <w:rPr>
          <w:i/>
          <w:lang w:val="fr-FR"/>
        </w:rPr>
        <w:t>Follo et autres c. Italie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28433/03, 28434/03, 28442/03, 28445/03 et 28451/03, § 30, 31 janvier 2012).</w:t>
      </w:r>
    </w:p>
    <w:p w:rsidR="00D64D5F" w:rsidRPr="00FD0092" w:rsidRDefault="00D64D5F" w:rsidP="00FD0092">
      <w:pPr>
        <w:pStyle w:val="ECHRHeading1"/>
        <w:rPr>
          <w:lang w:val="fr-FR"/>
        </w:rPr>
      </w:pPr>
      <w:r w:rsidRPr="00FD0092">
        <w:rPr>
          <w:lang w:val="fr-FR"/>
        </w:rPr>
        <w:t>V. SUR LA VIOLATION ALLÉGUÉE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13 DE LA CONVENTION QUANT AU MANQUE D</w:t>
      </w:r>
      <w:r w:rsidR="00FD0092">
        <w:rPr>
          <w:lang w:val="fr-FR"/>
        </w:rPr>
        <w:t>’</w:t>
      </w:r>
      <w:r w:rsidRPr="00FD0092">
        <w:rPr>
          <w:lang w:val="fr-FR"/>
        </w:rPr>
        <w:t>EFFICACITÉ DU REMÈDE PRÉVU PAR LA « LOI PINTO »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62</w:t>
      </w:r>
      <w:r w:rsidRPr="00FD0092">
        <w:fldChar w:fldCharType="end"/>
      </w:r>
      <w:r w:rsidRPr="00FD0092">
        <w:rPr>
          <w:lang w:val="fr-FR"/>
        </w:rPr>
        <w:t>.  </w:t>
      </w:r>
      <w:r w:rsidRPr="00FD0092">
        <w:rPr>
          <w:lang w:val="fr-FR" w:eastAsia="en-GB"/>
        </w:rPr>
        <w:t>Invoquant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article 13 de la Convention, les requérants se plaignent du retard des autorités nationales à se conformer à la décision « Pinto », ce qui rendrait inefficace cette voie de recours.</w:t>
      </w:r>
    </w:p>
    <w:p w:rsidR="00D64D5F" w:rsidRPr="00FD0092" w:rsidRDefault="00D64D5F" w:rsidP="00FD0092">
      <w:pPr>
        <w:pStyle w:val="ECHRPara"/>
        <w:rPr>
          <w:lang w:val="fr-FR" w:eastAsia="en-GB"/>
        </w:rPr>
      </w:pPr>
      <w:r w:rsidRPr="00FD0092">
        <w:rPr>
          <w:lang w:val="fr-FR" w:eastAsia="en-GB"/>
        </w:rPr>
        <w:fldChar w:fldCharType="begin"/>
      </w:r>
      <w:r w:rsidRPr="00FD0092">
        <w:rPr>
          <w:lang w:val="fr-FR" w:eastAsia="en-GB"/>
        </w:rPr>
        <w:instrText xml:space="preserve"> SEQ level0 \*arabic </w:instrText>
      </w:r>
      <w:r w:rsidRPr="00FD0092">
        <w:rPr>
          <w:lang w:val="fr-FR" w:eastAsia="en-GB"/>
        </w:rPr>
        <w:fldChar w:fldCharType="separate"/>
      </w:r>
      <w:r w:rsidR="00E47277">
        <w:rPr>
          <w:noProof/>
          <w:lang w:val="fr-FR" w:eastAsia="en-GB"/>
        </w:rPr>
        <w:t>63</w:t>
      </w:r>
      <w:r w:rsidRPr="00FD0092">
        <w:rPr>
          <w:lang w:val="fr-FR" w:eastAsia="en-GB"/>
        </w:rPr>
        <w:fldChar w:fldCharType="end"/>
      </w:r>
      <w:r w:rsidRPr="00FD0092">
        <w:rPr>
          <w:lang w:val="fr-FR" w:eastAsia="en-GB"/>
        </w:rPr>
        <w:t xml:space="preserve">.  Au vu de la jurisprudence </w:t>
      </w:r>
      <w:r w:rsidRPr="00FD0092">
        <w:rPr>
          <w:i/>
          <w:lang w:val="fr-FR" w:eastAsia="en-GB"/>
        </w:rPr>
        <w:t xml:space="preserve">Simaldone </w:t>
      </w:r>
      <w:r w:rsidRPr="00FD0092">
        <w:rPr>
          <w:lang w:val="fr-FR" w:eastAsia="en-GB"/>
        </w:rPr>
        <w:t xml:space="preserve">(précité, § 84) et </w:t>
      </w:r>
      <w:r w:rsidRPr="00FD0092">
        <w:rPr>
          <w:i/>
          <w:lang w:val="fr-FR" w:eastAsia="en-GB"/>
        </w:rPr>
        <w:t>Gaglione</w:t>
      </w:r>
      <w:r w:rsidRPr="00FD0092">
        <w:rPr>
          <w:lang w:val="fr-FR" w:eastAsia="en-GB"/>
        </w:rPr>
        <w:t xml:space="preserve"> (précité, § 47), la Cour estime qu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il y a lieu de déclarer ce grief irrecevable pour défaut manifeste de fondement au sens de l</w:t>
      </w:r>
      <w:r w:rsidR="00FD0092">
        <w:rPr>
          <w:lang w:val="fr-FR" w:eastAsia="en-GB"/>
        </w:rPr>
        <w:t>’</w:t>
      </w:r>
      <w:r w:rsidRPr="00FD0092">
        <w:rPr>
          <w:lang w:val="fr-FR" w:eastAsia="en-GB"/>
        </w:rPr>
        <w:t>article 35 §§ 3 et 4 de la Convention.</w:t>
      </w:r>
    </w:p>
    <w:p w:rsidR="00D64D5F" w:rsidRPr="00FD0092" w:rsidRDefault="00D64D5F" w:rsidP="00FD0092">
      <w:pPr>
        <w:pStyle w:val="ECHRHeading1"/>
        <w:rPr>
          <w:lang w:val="fr-FR" w:eastAsia="fr-FR"/>
        </w:rPr>
      </w:pPr>
      <w:r w:rsidRPr="00FD0092">
        <w:rPr>
          <w:lang w:val="fr-FR" w:eastAsia="fr-FR"/>
        </w:rPr>
        <w:t>VI.  SUR L</w:t>
      </w:r>
      <w:r w:rsidR="00FD0092">
        <w:rPr>
          <w:lang w:val="fr-FR" w:eastAsia="fr-FR"/>
        </w:rPr>
        <w:t>’</w:t>
      </w:r>
      <w:r w:rsidRPr="00FD0092">
        <w:rPr>
          <w:lang w:val="fr-FR" w:eastAsia="fr-FR"/>
        </w:rPr>
        <w:t>APPLICATION DE L</w:t>
      </w:r>
      <w:r w:rsidR="00FD0092">
        <w:rPr>
          <w:lang w:val="fr-FR" w:eastAsia="fr-FR"/>
        </w:rPr>
        <w:t>’</w:t>
      </w:r>
      <w:r w:rsidRPr="00FD0092">
        <w:rPr>
          <w:lang w:val="fr-FR" w:eastAsia="fr-FR"/>
        </w:rPr>
        <w:t>ARTICLE 41 DE LA CONVENTION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64</w:t>
      </w:r>
      <w:r w:rsidRPr="00FD0092">
        <w:fldChar w:fldCharType="end"/>
      </w:r>
      <w:r w:rsidRPr="00FD0092">
        <w:rPr>
          <w:lang w:val="fr-FR"/>
        </w:rPr>
        <w:t>.  Aux termes de l</w:t>
      </w:r>
      <w:r w:rsidR="00FD0092">
        <w:rPr>
          <w:rFonts w:ascii="Times New Roman" w:hAnsi="Times New Roman" w:cs="Times New Roman"/>
          <w:smallCaps/>
          <w:lang w:val="fr-FR"/>
        </w:rPr>
        <w:t>’</w:t>
      </w:r>
      <w:r w:rsidRPr="00FD0092">
        <w:rPr>
          <w:lang w:val="fr-FR"/>
        </w:rPr>
        <w:t>article 41 de la Convention,</w:t>
      </w:r>
    </w:p>
    <w:p w:rsidR="00D64D5F" w:rsidRPr="00FD0092" w:rsidRDefault="00D64D5F" w:rsidP="00FD0092">
      <w:pPr>
        <w:pStyle w:val="ECHRParaQuote"/>
        <w:rPr>
          <w:lang w:val="fr-FR"/>
        </w:rPr>
      </w:pPr>
      <w:r w:rsidRPr="00FD0092">
        <w:rPr>
          <w:lang w:val="fr-FR"/>
        </w:rPr>
        <w:t>« Si la Cour déclare qu</w:t>
      </w:r>
      <w:r w:rsidR="00FD0092">
        <w:rPr>
          <w:lang w:val="fr-FR"/>
        </w:rPr>
        <w:t>’</w:t>
      </w:r>
      <w:r w:rsidRPr="00FD0092">
        <w:rPr>
          <w:lang w:val="fr-FR"/>
        </w:rPr>
        <w:t>il y a eu violation de la Convention ou de ses Protocoles, et si le droit interne de la Haute Partie contractante ne permet d</w:t>
      </w:r>
      <w:r w:rsidR="00FD0092">
        <w:rPr>
          <w:lang w:val="fr-FR"/>
        </w:rPr>
        <w:t>’</w:t>
      </w:r>
      <w:r w:rsidRPr="00FD0092">
        <w:rPr>
          <w:lang w:val="fr-FR"/>
        </w:rPr>
        <w:t>effacer qu</w:t>
      </w:r>
      <w:r w:rsidR="00FD0092">
        <w:rPr>
          <w:lang w:val="fr-FR"/>
        </w:rPr>
        <w:t>’</w:t>
      </w:r>
      <w:r w:rsidRPr="00FD0092">
        <w:rPr>
          <w:lang w:val="fr-FR"/>
        </w:rPr>
        <w:t>imparfaitement les conséquences de cette violation, la Cour accorde à la partie lésée, s</w:t>
      </w:r>
      <w:r w:rsidR="00FD0092">
        <w:rPr>
          <w:lang w:val="fr-FR"/>
        </w:rPr>
        <w:t>’</w:t>
      </w:r>
      <w:r w:rsidRPr="00FD0092">
        <w:rPr>
          <w:lang w:val="fr-FR"/>
        </w:rPr>
        <w:t>il y a lieu, une satisfaction équitable. »</w:t>
      </w:r>
    </w:p>
    <w:p w:rsidR="00D64D5F" w:rsidRPr="00FD0092" w:rsidRDefault="00D64D5F" w:rsidP="00FD0092">
      <w:pPr>
        <w:pStyle w:val="ECHRHeading2"/>
        <w:rPr>
          <w:lang w:val="fr-FR"/>
        </w:rPr>
      </w:pPr>
      <w:r w:rsidRPr="00FD0092">
        <w:rPr>
          <w:lang w:val="fr-FR"/>
        </w:rPr>
        <w:t>A.  Dommage moral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65</w:t>
      </w:r>
      <w:r w:rsidRPr="00FD0092">
        <w:fldChar w:fldCharType="end"/>
      </w:r>
      <w:r w:rsidRPr="00FD0092">
        <w:rPr>
          <w:lang w:val="fr-FR"/>
        </w:rPr>
        <w:t>. </w:t>
      </w:r>
      <w:r w:rsidR="00533A76" w:rsidRPr="00FD0092">
        <w:rPr>
          <w:lang w:val="fr-FR"/>
        </w:rPr>
        <w:t> </w:t>
      </w:r>
      <w:r w:rsidRPr="00FD0092">
        <w:rPr>
          <w:lang w:val="fr-FR"/>
        </w:rPr>
        <w:t>Les requérants réclament, au titre du préjudice moral qu</w:t>
      </w:r>
      <w:r w:rsidR="00FD0092">
        <w:rPr>
          <w:lang w:val="fr-FR"/>
        </w:rPr>
        <w:t>’</w:t>
      </w:r>
      <w:r w:rsidRPr="00FD0092">
        <w:rPr>
          <w:lang w:val="fr-FR"/>
        </w:rPr>
        <w:t>ils auraient subi, 20 000 EUR chacun.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66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Le Gouvernement n</w:t>
      </w:r>
      <w:r w:rsidR="00FD0092">
        <w:rPr>
          <w:lang w:val="fr-FR"/>
        </w:rPr>
        <w:t>’</w:t>
      </w:r>
      <w:r w:rsidRPr="00FD0092">
        <w:rPr>
          <w:lang w:val="fr-FR"/>
        </w:rPr>
        <w:t>a pas présenté d</w:t>
      </w:r>
      <w:r w:rsidR="00FD0092">
        <w:rPr>
          <w:lang w:val="fr-FR"/>
        </w:rPr>
        <w:t>’</w:t>
      </w:r>
      <w:r w:rsidRPr="00FD0092">
        <w:rPr>
          <w:lang w:val="fr-FR"/>
        </w:rPr>
        <w:t>observations sur ce point.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67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Compte tenu de la solution adoptée dans l</w:t>
      </w:r>
      <w:r w:rsidR="00FD0092">
        <w:rPr>
          <w:lang w:val="fr-FR"/>
        </w:rPr>
        <w:t>’</w:t>
      </w:r>
      <w:r w:rsidRPr="00FD0092">
        <w:rPr>
          <w:lang w:val="fr-FR"/>
        </w:rPr>
        <w:t xml:space="preserve">arrêt </w:t>
      </w:r>
      <w:r w:rsidRPr="00FD0092">
        <w:rPr>
          <w:i/>
          <w:lang w:val="fr-FR"/>
        </w:rPr>
        <w:t>Gaglione et autres</w:t>
      </w:r>
      <w:r w:rsidRPr="00FD0092">
        <w:rPr>
          <w:lang w:val="fr-FR"/>
        </w:rPr>
        <w:t>, précité, et statuant en équité, la Cour considère opportun d</w:t>
      </w:r>
      <w:r w:rsidR="00FD0092">
        <w:rPr>
          <w:lang w:val="fr-FR"/>
        </w:rPr>
        <w:t>’</w:t>
      </w:r>
      <w:r w:rsidRPr="00FD0092">
        <w:rPr>
          <w:lang w:val="fr-FR"/>
        </w:rPr>
        <w:t>accorder une somme forfaitaire de 200 EUR à chaque requérant à titre de dommage moral découlant de la violation constatée.</w:t>
      </w:r>
    </w:p>
    <w:p w:rsidR="00D64D5F" w:rsidRPr="00FD0092" w:rsidRDefault="00D64D5F" w:rsidP="00FD0092">
      <w:pPr>
        <w:pStyle w:val="ECHRHeading2"/>
        <w:rPr>
          <w:lang w:val="fr-FR"/>
        </w:rPr>
      </w:pPr>
      <w:r w:rsidRPr="00FD0092">
        <w:rPr>
          <w:lang w:val="fr-FR"/>
        </w:rPr>
        <w:t>B.  Frais et dépens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68</w:t>
      </w:r>
      <w:r w:rsidRPr="00FD0092">
        <w:fldChar w:fldCharType="end"/>
      </w:r>
      <w:r w:rsidRPr="00FD0092">
        <w:rPr>
          <w:lang w:val="fr-FR"/>
        </w:rPr>
        <w:t>.  Justificatifs à l</w:t>
      </w:r>
      <w:r w:rsidR="00FD0092">
        <w:rPr>
          <w:lang w:val="fr-FR"/>
        </w:rPr>
        <w:t>’</w:t>
      </w:r>
      <w:r w:rsidRPr="00FD0092">
        <w:rPr>
          <w:lang w:val="fr-FR"/>
        </w:rPr>
        <w:t>appui, les requérants demandent également 206 698,72 EUR pour les frais et dépens engagés devant la Cour.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69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La Cour rappelle que, selon sa jurisprudence, l</w:t>
      </w:r>
      <w:r w:rsidR="00FD0092">
        <w:rPr>
          <w:lang w:val="fr-FR"/>
        </w:rPr>
        <w:t>’</w:t>
      </w:r>
      <w:r w:rsidRPr="00FD0092">
        <w:rPr>
          <w:lang w:val="fr-FR"/>
        </w:rPr>
        <w:t>allocation des frais et dépens au titre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41 présuppose que se trouvent établis leur réalité, leur nécessité et le caractère raisonnable de leur taux (</w:t>
      </w:r>
      <w:r w:rsidRPr="00FD0092">
        <w:rPr>
          <w:i/>
          <w:lang w:val="fr-FR"/>
        </w:rPr>
        <w:t>Can et autres c. Turquie</w:t>
      </w:r>
      <w:r w:rsidRPr="00FD0092">
        <w:rPr>
          <w:lang w:val="fr-FR"/>
        </w:rPr>
        <w:t>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29189/02, § 22, 24 janvier 2008). En outre, les frais de justice ne sont recouvrables que dans la mesure où ils se rapportent à la violation constatée (voir, par exemple, </w:t>
      </w:r>
      <w:r w:rsidRPr="00FD0092">
        <w:rPr>
          <w:i/>
          <w:lang w:val="fr-FR"/>
        </w:rPr>
        <w:t>Beyeler c. Italie</w:t>
      </w:r>
      <w:r w:rsidRPr="00FD0092">
        <w:rPr>
          <w:lang w:val="fr-FR"/>
        </w:rPr>
        <w:t xml:space="preserve"> (satisfaction équitable) [GC], 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33202/96, § 27, 28 mai 2002 ; </w:t>
      </w:r>
      <w:r w:rsidRPr="00FD0092">
        <w:rPr>
          <w:i/>
          <w:lang w:val="fr-FR"/>
        </w:rPr>
        <w:t>Sahin c. Allemagne</w:t>
      </w:r>
      <w:r w:rsidRPr="00FD0092">
        <w:rPr>
          <w:lang w:val="fr-FR"/>
        </w:rPr>
        <w:t xml:space="preserve"> [GC],</w:t>
      </w:r>
      <w:r w:rsidRPr="00FD0092">
        <w:rPr>
          <w:i/>
          <w:lang w:val="fr-FR"/>
        </w:rPr>
        <w:t xml:space="preserve"> </w:t>
      </w:r>
      <w:r w:rsidRPr="00FD0092">
        <w:rPr>
          <w:lang w:val="fr-FR"/>
        </w:rPr>
        <w:t>n</w:t>
      </w:r>
      <w:r w:rsidRPr="00FD0092">
        <w:rPr>
          <w:vertAlign w:val="superscript"/>
          <w:lang w:val="fr-FR"/>
        </w:rPr>
        <w:t>o</w:t>
      </w:r>
      <w:r w:rsidRPr="00FD0092">
        <w:rPr>
          <w:lang w:val="fr-FR"/>
        </w:rPr>
        <w:t xml:space="preserve"> 30943/96, § 105, CEDH 2003</w:t>
      </w:r>
      <w:r w:rsidRPr="00FD0092">
        <w:rPr>
          <w:lang w:val="fr-FR"/>
        </w:rPr>
        <w:noBreakHyphen/>
        <w:t>VIII).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fldChar w:fldCharType="separate"/>
      </w:r>
      <w:r w:rsidR="00E47277">
        <w:rPr>
          <w:noProof/>
          <w:lang w:val="fr-FR"/>
        </w:rPr>
        <w:t>70</w:t>
      </w:r>
      <w:r w:rsidRPr="00FD0092">
        <w:fldChar w:fldCharType="end"/>
      </w:r>
      <w:r w:rsidRPr="00FD0092">
        <w:rPr>
          <w:lang w:val="fr-FR"/>
        </w:rPr>
        <w:t>.  </w:t>
      </w:r>
      <w:r w:rsidRPr="00FD0092">
        <w:rPr>
          <w:szCs w:val="24"/>
          <w:lang w:val="fr-FR" w:eastAsia="en-GB"/>
        </w:rPr>
        <w:t>La Cour ne doute pas de la nécessité d</w:t>
      </w:r>
      <w:r w:rsidR="00FD0092">
        <w:rPr>
          <w:szCs w:val="24"/>
          <w:lang w:val="fr-FR" w:eastAsia="en-GB"/>
        </w:rPr>
        <w:t>’</w:t>
      </w:r>
      <w:r w:rsidRPr="00FD0092">
        <w:rPr>
          <w:szCs w:val="24"/>
          <w:lang w:val="fr-FR" w:eastAsia="en-GB"/>
        </w:rPr>
        <w:t>engager des frais, mais elle trouve excessifs les honoraires totaux revendiqués à ce titre. Elle considère dès lors qu</w:t>
      </w:r>
      <w:r w:rsidR="00FD0092">
        <w:rPr>
          <w:szCs w:val="24"/>
          <w:lang w:val="fr-FR" w:eastAsia="en-GB"/>
        </w:rPr>
        <w:t>’</w:t>
      </w:r>
      <w:r w:rsidRPr="00FD0092">
        <w:rPr>
          <w:szCs w:val="24"/>
          <w:lang w:val="fr-FR" w:eastAsia="en-GB"/>
        </w:rPr>
        <w:t>il y a lieu de les rembourser en partie seulement. Compte tenu des circonstances de la cause, la Cour juge raisonnable d</w:t>
      </w:r>
      <w:r w:rsidR="00FD0092">
        <w:rPr>
          <w:szCs w:val="24"/>
          <w:lang w:val="fr-FR" w:eastAsia="en-GB"/>
        </w:rPr>
        <w:t>’</w:t>
      </w:r>
      <w:r w:rsidRPr="00FD0092">
        <w:rPr>
          <w:szCs w:val="24"/>
          <w:lang w:val="fr-FR" w:eastAsia="en-GB"/>
        </w:rPr>
        <w:t xml:space="preserve">allouer un montant </w:t>
      </w:r>
      <w:r w:rsidRPr="00FD0092">
        <w:rPr>
          <w:lang w:val="fr-FR"/>
        </w:rPr>
        <w:t>de 5 000 EUR aux requérants conjointement pour l</w:t>
      </w:r>
      <w:r w:rsidR="00FD0092">
        <w:rPr>
          <w:lang w:val="fr-FR"/>
        </w:rPr>
        <w:t>’</w:t>
      </w:r>
      <w:r w:rsidRPr="00FD0092">
        <w:rPr>
          <w:lang w:val="fr-FR"/>
        </w:rPr>
        <w:t>ensemble des frais exposés.</w:t>
      </w:r>
    </w:p>
    <w:p w:rsidR="00D64D5F" w:rsidRPr="00FD0092" w:rsidRDefault="00D64D5F" w:rsidP="00FD0092">
      <w:pPr>
        <w:pStyle w:val="ECHRHeading2"/>
        <w:rPr>
          <w:lang w:val="fr-FR"/>
        </w:rPr>
      </w:pPr>
      <w:r w:rsidRPr="00FD0092">
        <w:rPr>
          <w:lang w:val="fr-FR"/>
        </w:rPr>
        <w:t>C.  Intérêts moratoires</w:t>
      </w:r>
    </w:p>
    <w:p w:rsidR="00D64D5F" w:rsidRPr="00FD0092" w:rsidRDefault="00D64D5F" w:rsidP="00FD0092">
      <w:pPr>
        <w:pStyle w:val="ECHRPara"/>
        <w:rPr>
          <w:lang w:val="fr-FR"/>
        </w:rPr>
      </w:pPr>
      <w:r w:rsidRPr="00FD0092">
        <w:rPr>
          <w:lang w:val="fr-FR"/>
        </w:rPr>
        <w:fldChar w:fldCharType="begin"/>
      </w:r>
      <w:r w:rsidRPr="00FD0092">
        <w:rPr>
          <w:lang w:val="fr-FR"/>
        </w:rPr>
        <w:instrText xml:space="preserve"> SEQ level0 \*arabic </w:instrText>
      </w:r>
      <w:r w:rsidRPr="00FD0092">
        <w:rPr>
          <w:lang w:val="fr-FR"/>
        </w:rPr>
        <w:fldChar w:fldCharType="separate"/>
      </w:r>
      <w:r w:rsidR="00E47277">
        <w:rPr>
          <w:noProof/>
          <w:lang w:val="fr-FR"/>
        </w:rPr>
        <w:t>71</w:t>
      </w:r>
      <w:r w:rsidRPr="00FD0092">
        <w:rPr>
          <w:lang w:val="fr-FR"/>
        </w:rPr>
        <w:fldChar w:fldCharType="end"/>
      </w:r>
      <w:r w:rsidRPr="00FD0092">
        <w:rPr>
          <w:lang w:val="fr-FR"/>
        </w:rPr>
        <w:t>.  La Cour juge approprié de calquer le taux des intérêts moratoires sur le taux d</w:t>
      </w:r>
      <w:r w:rsidR="00FD0092">
        <w:rPr>
          <w:lang w:val="fr-FR"/>
        </w:rPr>
        <w:t>’</w:t>
      </w:r>
      <w:r w:rsidRPr="00FD0092">
        <w:rPr>
          <w:lang w:val="fr-FR"/>
        </w:rPr>
        <w:t>intérêt de la facilité de prêt marginal de la Banque centrale européenne majoré de trois points de pourcentage.</w:t>
      </w:r>
    </w:p>
    <w:p w:rsidR="0060388A" w:rsidRPr="00FD0092" w:rsidRDefault="0060388A" w:rsidP="00FD0092">
      <w:pPr>
        <w:pStyle w:val="ECHRTitle1"/>
        <w:rPr>
          <w:lang w:val="fr-FR"/>
        </w:rPr>
      </w:pPr>
      <w:r w:rsidRPr="00FD0092">
        <w:rPr>
          <w:lang w:val="fr-FR"/>
        </w:rPr>
        <w:t>PAR CES MOTIFS, LA COUR, À L</w:t>
      </w:r>
      <w:r w:rsidR="00FD0092">
        <w:rPr>
          <w:lang w:val="fr-FR"/>
        </w:rPr>
        <w:t>’</w:t>
      </w:r>
      <w:r w:rsidRPr="00FD0092">
        <w:rPr>
          <w:lang w:val="fr-FR"/>
        </w:rPr>
        <w:t>UNANIMITÉ,</w:t>
      </w:r>
    </w:p>
    <w:p w:rsidR="0060388A" w:rsidRPr="00FD0092" w:rsidRDefault="0060388A" w:rsidP="00FD0092">
      <w:pPr>
        <w:pStyle w:val="JuList"/>
        <w:rPr>
          <w:lang w:val="fr-FR"/>
        </w:rPr>
      </w:pPr>
      <w:r w:rsidRPr="00FD0092">
        <w:rPr>
          <w:lang w:val="fr-FR"/>
        </w:rPr>
        <w:t>1.  </w:t>
      </w:r>
      <w:r w:rsidRPr="00FD0092">
        <w:rPr>
          <w:i/>
          <w:lang w:val="fr-FR"/>
        </w:rPr>
        <w:t>Déclare</w:t>
      </w:r>
      <w:r w:rsidRPr="00FD0092">
        <w:rPr>
          <w:lang w:val="fr-FR"/>
        </w:rPr>
        <w:t xml:space="preserve"> la requête recevable quant au grief tiré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 en raison du retard dans le paiement de l</w:t>
      </w:r>
      <w:r w:rsidR="00FD0092">
        <w:rPr>
          <w:lang w:val="fr-FR"/>
        </w:rPr>
        <w:t>’</w:t>
      </w:r>
      <w:r w:rsidRPr="00FD0092">
        <w:rPr>
          <w:lang w:val="fr-FR"/>
        </w:rPr>
        <w:t>indemnisation « Pinto » et irrecevable pour le surplus ;</w:t>
      </w:r>
    </w:p>
    <w:p w:rsidR="0060388A" w:rsidRPr="00FD0092" w:rsidRDefault="0060388A" w:rsidP="00FD0092">
      <w:pPr>
        <w:pStyle w:val="JuList"/>
        <w:rPr>
          <w:lang w:val="fr-FR"/>
        </w:rPr>
      </w:pPr>
    </w:p>
    <w:p w:rsidR="0060388A" w:rsidRPr="00FD0092" w:rsidRDefault="0060388A" w:rsidP="00FD0092">
      <w:pPr>
        <w:pStyle w:val="JuList"/>
        <w:rPr>
          <w:lang w:val="fr-FR"/>
        </w:rPr>
      </w:pPr>
      <w:r w:rsidRPr="00FD0092">
        <w:rPr>
          <w:lang w:val="fr-FR"/>
        </w:rPr>
        <w:t>2.  </w:t>
      </w:r>
      <w:r w:rsidRPr="00FD0092">
        <w:rPr>
          <w:i/>
          <w:lang w:val="fr-FR"/>
        </w:rPr>
        <w:t>Dit</w:t>
      </w:r>
      <w:r w:rsidRPr="00FD0092">
        <w:rPr>
          <w:lang w:val="fr-FR"/>
        </w:rPr>
        <w:t xml:space="preserve"> qu</w:t>
      </w:r>
      <w:r w:rsidR="00FD0092">
        <w:rPr>
          <w:lang w:val="fr-FR"/>
        </w:rPr>
        <w:t>’</w:t>
      </w:r>
      <w:r w:rsidRPr="00FD0092">
        <w:rPr>
          <w:lang w:val="fr-FR"/>
        </w:rPr>
        <w:t>il y a eu violation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6 § 1 de la Convention ;</w:t>
      </w:r>
    </w:p>
    <w:p w:rsidR="0060388A" w:rsidRPr="00FD0092" w:rsidRDefault="0060388A" w:rsidP="00FD0092">
      <w:pPr>
        <w:pStyle w:val="JuList"/>
        <w:rPr>
          <w:lang w:val="fr-FR"/>
        </w:rPr>
      </w:pPr>
    </w:p>
    <w:p w:rsidR="00972295" w:rsidRPr="00FD0092" w:rsidRDefault="0060388A" w:rsidP="00FD0092">
      <w:pPr>
        <w:pStyle w:val="JuList"/>
        <w:rPr>
          <w:lang w:val="fr-FR"/>
        </w:rPr>
      </w:pPr>
      <w:r w:rsidRPr="00FD0092">
        <w:rPr>
          <w:lang w:val="fr-FR"/>
        </w:rPr>
        <w:t>3.  </w:t>
      </w:r>
      <w:r w:rsidRPr="00FD0092">
        <w:rPr>
          <w:i/>
          <w:lang w:val="fr-FR"/>
        </w:rPr>
        <w:t>Dit</w:t>
      </w:r>
    </w:p>
    <w:p w:rsidR="0060388A" w:rsidRPr="00FD0092" w:rsidRDefault="0060388A" w:rsidP="00FD0092">
      <w:pPr>
        <w:pStyle w:val="JuLista"/>
        <w:rPr>
          <w:lang w:val="fr-FR"/>
        </w:rPr>
      </w:pPr>
      <w:r w:rsidRPr="00FD0092">
        <w:rPr>
          <w:lang w:val="fr-FR"/>
        </w:rPr>
        <w:t>a) que l</w:t>
      </w:r>
      <w:r w:rsidR="00FD0092">
        <w:rPr>
          <w:lang w:val="fr-FR"/>
        </w:rPr>
        <w:t>’</w:t>
      </w:r>
      <w:r w:rsidRPr="00FD0092">
        <w:rPr>
          <w:lang w:val="fr-FR"/>
        </w:rPr>
        <w:t>État défendeur doit verser, dans les trois mois</w:t>
      </w:r>
      <w:r w:rsidR="0079083E" w:rsidRPr="00FD0092">
        <w:rPr>
          <w:lang w:val="fr-FR"/>
        </w:rPr>
        <w:t>,</w:t>
      </w:r>
      <w:r w:rsidRPr="00FD0092">
        <w:rPr>
          <w:lang w:val="fr-FR"/>
        </w:rPr>
        <w:t xml:space="preserve"> les sommes suivantes :</w:t>
      </w:r>
    </w:p>
    <w:p w:rsidR="0060388A" w:rsidRPr="00FD0092" w:rsidRDefault="0060388A" w:rsidP="00FD0092">
      <w:pPr>
        <w:pStyle w:val="JuListi"/>
        <w:rPr>
          <w:lang w:val="fr-FR"/>
        </w:rPr>
      </w:pPr>
      <w:r w:rsidRPr="00FD0092">
        <w:rPr>
          <w:lang w:val="fr-FR"/>
        </w:rPr>
        <w:t>i)  200 EUR (deux cents euros), à chaque requérant, plus tout montant pouvant être dû à titre d</w:t>
      </w:r>
      <w:r w:rsidR="00FD0092">
        <w:rPr>
          <w:lang w:val="fr-FR"/>
        </w:rPr>
        <w:t>’</w:t>
      </w:r>
      <w:r w:rsidRPr="00FD0092">
        <w:rPr>
          <w:lang w:val="fr-FR"/>
        </w:rPr>
        <w:t>impôt, pour dommage moral ;</w:t>
      </w:r>
    </w:p>
    <w:p w:rsidR="0060388A" w:rsidRPr="00FD0092" w:rsidRDefault="0060388A" w:rsidP="00FD0092">
      <w:pPr>
        <w:pStyle w:val="JuListi"/>
        <w:rPr>
          <w:lang w:val="fr-FR"/>
        </w:rPr>
      </w:pPr>
      <w:r w:rsidRPr="00FD0092">
        <w:rPr>
          <w:lang w:val="fr-FR"/>
        </w:rPr>
        <w:t>ii)  5 000 EUR (cinq mille euros), conjointement, plus tout montant pouvant être dû à titre d</w:t>
      </w:r>
      <w:r w:rsidR="00FD0092">
        <w:rPr>
          <w:lang w:val="fr-FR"/>
        </w:rPr>
        <w:t>’</w:t>
      </w:r>
      <w:r w:rsidRPr="00FD0092">
        <w:rPr>
          <w:lang w:val="fr-FR"/>
        </w:rPr>
        <w:t>impôt par les requérants, pour frais et dépens;</w:t>
      </w:r>
    </w:p>
    <w:p w:rsidR="0060388A" w:rsidRPr="00FD0092" w:rsidRDefault="0060388A" w:rsidP="00FD0092">
      <w:pPr>
        <w:pStyle w:val="JuLista"/>
        <w:rPr>
          <w:lang w:val="fr-FR"/>
        </w:rPr>
      </w:pPr>
      <w:r w:rsidRPr="00FD0092">
        <w:rPr>
          <w:lang w:val="fr-FR"/>
        </w:rPr>
        <w:t>b)  qu</w:t>
      </w:r>
      <w:r w:rsidR="00FD0092">
        <w:rPr>
          <w:lang w:val="fr-FR"/>
        </w:rPr>
        <w:t>’</w:t>
      </w:r>
      <w:r w:rsidRPr="00FD0092">
        <w:rPr>
          <w:lang w:val="fr-FR"/>
        </w:rPr>
        <w:t>à compter de l</w:t>
      </w:r>
      <w:r w:rsidR="00FD0092">
        <w:rPr>
          <w:lang w:val="fr-FR"/>
        </w:rPr>
        <w:t>’</w:t>
      </w:r>
      <w:r w:rsidRPr="00FD0092">
        <w:rPr>
          <w:lang w:val="fr-FR"/>
        </w:rPr>
        <w:t>expiration dudit délai et jusqu</w:t>
      </w:r>
      <w:r w:rsidR="00FD0092">
        <w:rPr>
          <w:lang w:val="fr-FR"/>
        </w:rPr>
        <w:t>’</w:t>
      </w:r>
      <w:r w:rsidRPr="00FD0092">
        <w:rPr>
          <w:lang w:val="fr-FR"/>
        </w:rPr>
        <w:t>au versement, ces montants seront à majorer d</w:t>
      </w:r>
      <w:r w:rsidR="00FD0092">
        <w:rPr>
          <w:lang w:val="fr-FR"/>
        </w:rPr>
        <w:t>’</w:t>
      </w:r>
      <w:r w:rsidRPr="00FD0092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60388A" w:rsidRPr="00FD0092" w:rsidRDefault="0060388A" w:rsidP="00FD0092">
      <w:pPr>
        <w:pStyle w:val="JuLista"/>
        <w:rPr>
          <w:lang w:val="fr-FR"/>
        </w:rPr>
      </w:pPr>
    </w:p>
    <w:p w:rsidR="0060388A" w:rsidRPr="00FD0092" w:rsidRDefault="0060388A" w:rsidP="00FD0092">
      <w:pPr>
        <w:pStyle w:val="JuList"/>
        <w:rPr>
          <w:lang w:val="fr-FR"/>
        </w:rPr>
      </w:pPr>
      <w:r w:rsidRPr="00FD0092">
        <w:rPr>
          <w:lang w:val="fr-FR"/>
        </w:rPr>
        <w:t>4.  </w:t>
      </w:r>
      <w:r w:rsidRPr="00FD0092">
        <w:rPr>
          <w:i/>
          <w:lang w:val="fr-FR"/>
        </w:rPr>
        <w:t>Rejette</w:t>
      </w:r>
      <w:r w:rsidRPr="00FD0092">
        <w:rPr>
          <w:lang w:val="fr-FR"/>
        </w:rPr>
        <w:t>, la demande de satisfaction équitable pour le surplus.</w:t>
      </w:r>
    </w:p>
    <w:p w:rsidR="00D64D5F" w:rsidRPr="00FD0092" w:rsidRDefault="00D64D5F" w:rsidP="00FD0092">
      <w:pPr>
        <w:pStyle w:val="JuParaLast"/>
        <w:rPr>
          <w:lang w:val="fr-FR"/>
        </w:rPr>
      </w:pPr>
      <w:r w:rsidRPr="00FD0092">
        <w:rPr>
          <w:lang w:val="fr-FR"/>
        </w:rPr>
        <w:t>Fait en français, puis communiqué par écrit le </w:t>
      </w:r>
      <w:r w:rsidR="0060388A" w:rsidRPr="00FD0092">
        <w:rPr>
          <w:lang w:val="fr-FR"/>
        </w:rPr>
        <w:t>19 mai 2015</w:t>
      </w:r>
      <w:r w:rsidRPr="00FD0092">
        <w:rPr>
          <w:lang w:val="fr-FR"/>
        </w:rPr>
        <w:t>, en application de l</w:t>
      </w:r>
      <w:r w:rsidR="00FD0092">
        <w:rPr>
          <w:lang w:val="fr-FR"/>
        </w:rPr>
        <w:t>’</w:t>
      </w:r>
      <w:r w:rsidRPr="00FD0092">
        <w:rPr>
          <w:lang w:val="fr-FR"/>
        </w:rPr>
        <w:t>article 77 §§ 2 et 3 du règlement de la Cour.</w:t>
      </w:r>
    </w:p>
    <w:p w:rsidR="000B1B4C" w:rsidRPr="00FD0092" w:rsidRDefault="000B1B4C" w:rsidP="00FD0092">
      <w:pPr>
        <w:pStyle w:val="JuSigned"/>
        <w:rPr>
          <w:lang w:val="fr-FR"/>
        </w:rPr>
      </w:pPr>
      <w:r w:rsidRPr="00FD0092">
        <w:rPr>
          <w:lang w:val="fr-FR"/>
        </w:rPr>
        <w:tab/>
        <w:t xml:space="preserve">Fatoş </w:t>
      </w:r>
      <w:r w:rsidR="0088388E" w:rsidRPr="00FD0092">
        <w:rPr>
          <w:szCs w:val="24"/>
          <w:lang w:val="fr-FR"/>
        </w:rPr>
        <w:t>Aracı</w:t>
      </w:r>
      <w:r w:rsidR="0088388E" w:rsidRPr="00FD0092">
        <w:rPr>
          <w:lang w:val="fr-FR"/>
        </w:rPr>
        <w:t xml:space="preserve"> </w:t>
      </w:r>
      <w:r w:rsidRPr="00FD0092">
        <w:rPr>
          <w:lang w:val="fr-FR"/>
        </w:rPr>
        <w:tab/>
      </w:r>
      <w:r w:rsidRPr="00FD0092">
        <w:rPr>
          <w:rFonts w:ascii="Times New Roman" w:hAnsi="Times New Roman" w:cs="Times New Roman"/>
          <w:lang w:val="fr-FR"/>
        </w:rPr>
        <w:t>Päivi Hirvelä</w:t>
      </w:r>
      <w:r w:rsidRPr="00FD0092">
        <w:rPr>
          <w:rFonts w:ascii="Times New Roman" w:hAnsi="Times New Roman" w:cs="Times New Roman"/>
          <w:lang w:val="fr-FR"/>
        </w:rPr>
        <w:br/>
      </w:r>
      <w:r w:rsidRPr="00FD0092">
        <w:rPr>
          <w:lang w:val="fr-FR"/>
        </w:rPr>
        <w:tab/>
      </w:r>
      <w:r w:rsidRPr="00FD0092">
        <w:rPr>
          <w:iCs/>
          <w:lang w:val="fr-FR"/>
        </w:rPr>
        <w:t>Greffière adjointe</w:t>
      </w:r>
      <w:r w:rsidRPr="00FD0092">
        <w:rPr>
          <w:lang w:val="fr-FR"/>
        </w:rPr>
        <w:tab/>
        <w:t>Président</w:t>
      </w:r>
    </w:p>
    <w:sectPr w:rsidR="000B1B4C" w:rsidRPr="00FD009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274" w:right="2274" w:bottom="2274" w:left="2274" w:header="170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76" w:rsidRDefault="00533A76" w:rsidP="002D2C99">
      <w:r>
        <w:separator/>
      </w:r>
    </w:p>
  </w:endnote>
  <w:endnote w:type="continuationSeparator" w:id="0">
    <w:p w:rsidR="00533A76" w:rsidRDefault="00533A76" w:rsidP="002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6" w:rsidRPr="00150BFA" w:rsidRDefault="00533A76" w:rsidP="00533A76">
    <w:pPr>
      <w:jc w:val="center"/>
    </w:pPr>
    <w:r>
      <w:rPr>
        <w:noProof/>
        <w:lang w:eastAsia="ja-JP"/>
      </w:rPr>
      <w:drawing>
        <wp:inline distT="0" distB="0" distL="0" distR="0" wp14:anchorId="5EDF587E" wp14:editId="3952C49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A76" w:rsidRDefault="00533A76" w:rsidP="00533A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6" w:rsidRDefault="00533A76" w:rsidP="00533A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6" w:rsidRDefault="00533A76" w:rsidP="00533A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76" w:rsidRDefault="00533A76" w:rsidP="002D2C99">
      <w:r>
        <w:separator/>
      </w:r>
    </w:p>
  </w:footnote>
  <w:footnote w:type="continuationSeparator" w:id="0">
    <w:p w:rsidR="00533A76" w:rsidRDefault="00533A76" w:rsidP="002D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6" w:rsidRPr="00A45145" w:rsidRDefault="00533A76" w:rsidP="00533A76">
    <w:pPr>
      <w:jc w:val="center"/>
    </w:pPr>
    <w:r>
      <w:rPr>
        <w:noProof/>
        <w:lang w:eastAsia="ja-JP"/>
      </w:rPr>
      <w:drawing>
        <wp:inline distT="0" distB="0" distL="0" distR="0" wp14:anchorId="1E68FC1D" wp14:editId="3C9C9A7C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A76" w:rsidRDefault="00533A76" w:rsidP="00F5432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6" w:rsidRPr="00F5432B" w:rsidRDefault="00533A76" w:rsidP="00F5432B">
    <w:pPr>
      <w:pStyle w:val="ECHRHeader"/>
      <w:rPr>
        <w:lang w:val="fr-F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E47277">
      <w:rPr>
        <w:rStyle w:val="PageNumber"/>
        <w:noProof/>
        <w:lang w:val="fr-FR"/>
      </w:rPr>
      <w:t>1</w:t>
    </w:r>
    <w:r>
      <w:rPr>
        <w:rStyle w:val="PageNumber"/>
        <w:lang w:val="fr-FR"/>
      </w:rPr>
      <w:fldChar w:fldCharType="end"/>
    </w:r>
    <w:r w:rsidRPr="00F5432B">
      <w:rPr>
        <w:lang w:val="fr-FR"/>
      </w:rPr>
      <w:tab/>
      <w:t xml:space="preserve">ARRÊT </w:t>
    </w:r>
    <w:r>
      <w:rPr>
        <w:lang w:val="fr-FR"/>
      </w:rPr>
      <w:t>MONGELLI ET AUTRES c. ITALIE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6" w:rsidRPr="00D64D5F" w:rsidRDefault="00533A76" w:rsidP="00420F04">
    <w:pPr>
      <w:pStyle w:val="ECHRHeader"/>
      <w:rPr>
        <w:lang w:val="fr-FR"/>
      </w:rPr>
    </w:pPr>
    <w:r>
      <w:tab/>
    </w:r>
    <w:r w:rsidRPr="00D64D5F">
      <w:rPr>
        <w:lang w:val="fr-FR"/>
      </w:rPr>
      <w:t>ARRÊT MONGELLI ET AUTRES c. ITALIE</w:t>
    </w:r>
    <w:r w:rsidRPr="00D64D5F">
      <w:rPr>
        <w:lang w:val="fr-FR"/>
      </w:rPr>
      <w:tab/>
    </w:r>
    <w:r>
      <w:rPr>
        <w:rStyle w:val="PageNumber"/>
        <w:lang w:val="en-GB"/>
      </w:rPr>
      <w:fldChar w:fldCharType="begin"/>
    </w:r>
    <w:r w:rsidRPr="00D64D5F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E47277">
      <w:rPr>
        <w:rStyle w:val="PageNumber"/>
        <w:noProof/>
        <w:lang w:val="fr-FR"/>
      </w:rPr>
      <w:t>1</w:t>
    </w:r>
    <w:r>
      <w:rPr>
        <w:rStyle w:val="PageNumber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08B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F25A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2ED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E60D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A4F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221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F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4B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84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CC5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63396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B4233A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152AD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64D5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4D21"/>
    <w:rsid w:val="000602DF"/>
    <w:rsid w:val="00061B05"/>
    <w:rsid w:val="000632D5"/>
    <w:rsid w:val="000644EE"/>
    <w:rsid w:val="000925AD"/>
    <w:rsid w:val="000A24EB"/>
    <w:rsid w:val="000B1B4C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02C1"/>
    <w:rsid w:val="00104E23"/>
    <w:rsid w:val="00111B0C"/>
    <w:rsid w:val="00120D6C"/>
    <w:rsid w:val="001257EC"/>
    <w:rsid w:val="00127B42"/>
    <w:rsid w:val="00133D33"/>
    <w:rsid w:val="00134D64"/>
    <w:rsid w:val="001350AC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58CD"/>
    <w:rsid w:val="00230D00"/>
    <w:rsid w:val="00231DF7"/>
    <w:rsid w:val="00231FD1"/>
    <w:rsid w:val="002339E0"/>
    <w:rsid w:val="00233CF8"/>
    <w:rsid w:val="0023463B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2C99"/>
    <w:rsid w:val="002F2AF7"/>
    <w:rsid w:val="002F5915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20F04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3DC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36D5"/>
    <w:rsid w:val="00525208"/>
    <w:rsid w:val="005257A5"/>
    <w:rsid w:val="005264C0"/>
    <w:rsid w:val="00526A8A"/>
    <w:rsid w:val="00531DF2"/>
    <w:rsid w:val="00533A76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388A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83E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388E"/>
    <w:rsid w:val="00893576"/>
    <w:rsid w:val="00893E73"/>
    <w:rsid w:val="00895415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471F"/>
    <w:rsid w:val="00947AFB"/>
    <w:rsid w:val="00951D7D"/>
    <w:rsid w:val="009630C7"/>
    <w:rsid w:val="00972295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D0663"/>
    <w:rsid w:val="009E1F32"/>
    <w:rsid w:val="009E776C"/>
    <w:rsid w:val="009F65D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0A68"/>
    <w:rsid w:val="00C32E4D"/>
    <w:rsid w:val="00C333A0"/>
    <w:rsid w:val="00C36408"/>
    <w:rsid w:val="00C36A81"/>
    <w:rsid w:val="00C41226"/>
    <w:rsid w:val="00C41974"/>
    <w:rsid w:val="00C41981"/>
    <w:rsid w:val="00C535F5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64D5F"/>
    <w:rsid w:val="00D75E28"/>
    <w:rsid w:val="00D772C2"/>
    <w:rsid w:val="00D8008E"/>
    <w:rsid w:val="00D82C45"/>
    <w:rsid w:val="00D908A8"/>
    <w:rsid w:val="00D977B6"/>
    <w:rsid w:val="00DA4A31"/>
    <w:rsid w:val="00DA7B04"/>
    <w:rsid w:val="00DB08D7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37CB1"/>
    <w:rsid w:val="00E40404"/>
    <w:rsid w:val="00E459C6"/>
    <w:rsid w:val="00E47277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EF58B3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432B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0092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97229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7229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7229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722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722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722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722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7229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7229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7229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9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7229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97229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97229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97229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7229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972295"/>
    <w:rPr>
      <w:rFonts w:eastAsiaTheme="minorEastAsia"/>
    </w:rPr>
  </w:style>
  <w:style w:type="paragraph" w:customStyle="1" w:styleId="ECHRParaQuote">
    <w:name w:val="ECHR_Para_Quote"/>
    <w:aliases w:val="Ju_Quot"/>
    <w:basedOn w:val="Normal"/>
    <w:uiPriority w:val="14"/>
    <w:qFormat/>
    <w:rsid w:val="00972295"/>
    <w:pPr>
      <w:spacing w:before="120" w:after="120"/>
      <w:ind w:left="425" w:firstLine="142"/>
    </w:pPr>
    <w:rPr>
      <w:sz w:val="20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7229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97229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72295"/>
  </w:style>
  <w:style w:type="paragraph" w:customStyle="1" w:styleId="JuParaSub">
    <w:name w:val="Ju_Para_Sub"/>
    <w:basedOn w:val="ECHRPara"/>
    <w:uiPriority w:val="13"/>
    <w:qFormat/>
    <w:rsid w:val="00972295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7229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7229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972295"/>
  </w:style>
  <w:style w:type="paragraph" w:customStyle="1" w:styleId="ECHRTitle1">
    <w:name w:val="ECHR_Title_1"/>
    <w:aliases w:val="Ju_H_Head,Title_L_1"/>
    <w:basedOn w:val="Normal"/>
    <w:next w:val="ECHRPara"/>
    <w:uiPriority w:val="18"/>
    <w:qFormat/>
    <w:rsid w:val="0097229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972295"/>
  </w:style>
  <w:style w:type="paragraph" w:customStyle="1" w:styleId="JuSigned">
    <w:name w:val="Ju_Signed"/>
    <w:basedOn w:val="Normal"/>
    <w:next w:val="JuParaLast"/>
    <w:uiPriority w:val="32"/>
    <w:qFormat/>
    <w:rsid w:val="00972295"/>
    <w:pPr>
      <w:tabs>
        <w:tab w:val="center" w:pos="851"/>
        <w:tab w:val="center" w:pos="6407"/>
      </w:tabs>
      <w:spacing w:before="720"/>
      <w:jc w:val="lef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97229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7229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QuotSub">
    <w:name w:val="Opi_Quot_Sub"/>
    <w:basedOn w:val="JuQuotSub"/>
    <w:uiPriority w:val="49"/>
    <w:qFormat/>
    <w:rsid w:val="00972295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972295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97229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QuotSub">
    <w:name w:val="Ju_Quot_Sub"/>
    <w:basedOn w:val="ECHRParaQuote"/>
    <w:uiPriority w:val="15"/>
    <w:qFormat/>
    <w:rsid w:val="0097229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972295"/>
    <w:pPr>
      <w:tabs>
        <w:tab w:val="center" w:pos="6407"/>
      </w:tabs>
      <w:spacing w:before="720"/>
      <w:jc w:val="right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7229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7229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7229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97229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7229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7229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7229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7229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7229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7229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72295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7229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OpiHA">
    <w:name w:val="Opi_H_A"/>
    <w:basedOn w:val="ECHRHeading1"/>
    <w:next w:val="OpiPara"/>
    <w:uiPriority w:val="41"/>
    <w:qFormat/>
    <w:rsid w:val="00972295"/>
    <w:pPr>
      <w:tabs>
        <w:tab w:val="clear" w:pos="357"/>
      </w:tabs>
      <w:outlineLvl w:val="1"/>
    </w:pPr>
    <w:rPr>
      <w:b/>
    </w:rPr>
  </w:style>
  <w:style w:type="paragraph" w:customStyle="1" w:styleId="JuList">
    <w:name w:val="Ju_List"/>
    <w:basedOn w:val="Normal"/>
    <w:uiPriority w:val="28"/>
    <w:qFormat/>
    <w:rsid w:val="00972295"/>
    <w:pPr>
      <w:ind w:left="340" w:hanging="340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97229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Lista">
    <w:name w:val="Ju_List_a"/>
    <w:basedOn w:val="JuList"/>
    <w:uiPriority w:val="28"/>
    <w:qFormat/>
    <w:rsid w:val="00972295"/>
    <w:pPr>
      <w:ind w:left="346" w:firstLine="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97229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i">
    <w:name w:val="Ju_List_i"/>
    <w:basedOn w:val="Normal"/>
    <w:next w:val="JuLista"/>
    <w:uiPriority w:val="28"/>
    <w:qFormat/>
    <w:rsid w:val="00972295"/>
    <w:pPr>
      <w:ind w:left="794"/>
    </w:pPr>
  </w:style>
  <w:style w:type="character" w:customStyle="1" w:styleId="JUNAMES">
    <w:name w:val="JU_NAMES"/>
    <w:uiPriority w:val="17"/>
    <w:qFormat/>
    <w:rsid w:val="00972295"/>
    <w:rPr>
      <w:caps w:val="0"/>
      <w:smallCaps/>
    </w:rPr>
  </w:style>
  <w:style w:type="character" w:styleId="SubtleEmphasis">
    <w:name w:val="Subtle Emphasis"/>
    <w:uiPriority w:val="99"/>
    <w:semiHidden/>
    <w:qFormat/>
    <w:rsid w:val="00972295"/>
    <w:rPr>
      <w:i/>
      <w:iCs/>
    </w:rPr>
  </w:style>
  <w:style w:type="character" w:customStyle="1" w:styleId="JuITMark">
    <w:name w:val="Ju_ITMark"/>
    <w:basedOn w:val="DefaultParagraphFont"/>
    <w:uiPriority w:val="38"/>
    <w:qFormat/>
    <w:rsid w:val="00972295"/>
    <w:rPr>
      <w:vanish w:val="0"/>
      <w:color w:val="auto"/>
      <w:sz w:val="14"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Translation">
    <w:name w:val="Opi_Translation"/>
    <w:basedOn w:val="Normal"/>
    <w:next w:val="OpiPara"/>
    <w:uiPriority w:val="40"/>
    <w:qFormat/>
    <w:rsid w:val="00972295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972295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7229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styleId="Emphasis">
    <w:name w:val="Emphasis"/>
    <w:uiPriority w:val="99"/>
    <w:semiHidden/>
    <w:qFormat/>
    <w:rsid w:val="009722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97229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7229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9722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22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29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7229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7229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7229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7229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7229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7229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722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7229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7229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7229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7229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7229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972295"/>
    <w:rPr>
      <w:smallCaps/>
    </w:rPr>
  </w:style>
  <w:style w:type="table" w:styleId="TableGrid">
    <w:name w:val="Table Grid"/>
    <w:basedOn w:val="TableNormal"/>
    <w:uiPriority w:val="59"/>
    <w:semiHidden/>
    <w:rsid w:val="0097229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97229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97229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97229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97229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97229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97229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97229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7229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2D2C99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2D2C99"/>
    <w:pPr>
      <w:numPr>
        <w:numId w:val="3"/>
      </w:numPr>
    </w:pPr>
  </w:style>
  <w:style w:type="paragraph" w:customStyle="1" w:styleId="ECHRPara">
    <w:name w:val="ECHR_Para"/>
    <w:aliases w:val="Ju_Para"/>
    <w:basedOn w:val="Normal"/>
    <w:uiPriority w:val="12"/>
    <w:qFormat/>
    <w:rsid w:val="00972295"/>
    <w:pPr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2D2C99"/>
    <w:pPr>
      <w:numPr>
        <w:numId w:val="4"/>
      </w:numPr>
    </w:p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2D2C99"/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7229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lockText">
    <w:name w:val="Block Text"/>
    <w:basedOn w:val="Normal"/>
    <w:uiPriority w:val="99"/>
    <w:semiHidden/>
    <w:rsid w:val="002D2C9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2D2C99"/>
    <w:pPr>
      <w:spacing w:after="120"/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C99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D2C99"/>
    <w:pPr>
      <w:spacing w:after="120" w:line="480" w:lineRule="auto"/>
    </w:p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7229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972295"/>
    <w:pPr>
      <w:ind w:firstLine="284"/>
    </w:pPr>
    <w:rPr>
      <w:b/>
    </w:rPr>
  </w:style>
  <w:style w:type="character" w:styleId="PageNumber">
    <w:name w:val="page number"/>
    <w:uiPriority w:val="99"/>
    <w:semiHidden/>
    <w:rsid w:val="002D2C99"/>
    <w:rPr>
      <w:rFonts w:ascii="Times New Roman" w:hAnsi="Times New Roman" w:cs="Times New Roman"/>
      <w:sz w:val="18"/>
    </w:rPr>
  </w:style>
  <w:style w:type="paragraph" w:styleId="ListBullet2">
    <w:name w:val="List Bullet 2"/>
    <w:basedOn w:val="Normal"/>
    <w:uiPriority w:val="99"/>
    <w:semiHidden/>
    <w:rsid w:val="002D2C99"/>
    <w:pPr>
      <w:numPr>
        <w:numId w:val="1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2C99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2C99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D2C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C99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2C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C99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D2C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C99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D2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C99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C99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2D2C9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D2C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C99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D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99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D2C99"/>
  </w:style>
  <w:style w:type="character" w:customStyle="1" w:styleId="DateChar">
    <w:name w:val="Date Char"/>
    <w:basedOn w:val="DefaultParagraphFont"/>
    <w:link w:val="Date"/>
    <w:uiPriority w:val="99"/>
    <w:semiHidden/>
    <w:rsid w:val="002D2C99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C99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D2C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C99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2D2C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D2C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C99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2D2C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D2C9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D2C99"/>
  </w:style>
  <w:style w:type="paragraph" w:styleId="HTMLAddress">
    <w:name w:val="HTML Address"/>
    <w:basedOn w:val="Normal"/>
    <w:link w:val="HTMLAddressChar"/>
    <w:uiPriority w:val="99"/>
    <w:semiHidden/>
    <w:rsid w:val="002D2C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C99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2D2C99"/>
    <w:rPr>
      <w:i/>
      <w:iCs/>
    </w:rPr>
  </w:style>
  <w:style w:type="character" w:styleId="HTMLCode">
    <w:name w:val="HTML Code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D2C9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D2C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D2C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D2C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D2C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D2C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D2C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D2C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D2C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D2C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D2C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D2C9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D2C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D2C99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D2C99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D2C99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D2C99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D2C99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D2C99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D2C99"/>
  </w:style>
  <w:style w:type="paragraph" w:styleId="List">
    <w:name w:val="List"/>
    <w:basedOn w:val="Normal"/>
    <w:uiPriority w:val="99"/>
    <w:semiHidden/>
    <w:rsid w:val="002D2C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D2C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D2C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D2C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D2C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2D2C9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D2C9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D2C9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D2C9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D2C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D2C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D2C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D2C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D2C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D2C9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D2C9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D2C9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D2C9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D2C99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C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D2C99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2D2C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D2C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C99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2D2C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C99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2C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C99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2D2C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C99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2D2C9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2C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2C99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2C99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2C99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2C99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2C99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2C99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D2C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D2C99"/>
  </w:style>
  <w:style w:type="table" w:styleId="TableProfessional">
    <w:name w:val="Table Professional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2C9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D2C99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2C99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2C99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2D2C9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D2C9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D2C9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D2C99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97229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972295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rsid w:val="00972295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97229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7229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7229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972295"/>
    <w:rPr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97229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7229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7229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722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722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722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722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7229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7229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7229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9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7229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97229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97229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97229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7229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972295"/>
    <w:rPr>
      <w:rFonts w:eastAsiaTheme="minorEastAsia"/>
    </w:rPr>
  </w:style>
  <w:style w:type="paragraph" w:customStyle="1" w:styleId="ECHRParaQuote">
    <w:name w:val="ECHR_Para_Quote"/>
    <w:aliases w:val="Ju_Quot"/>
    <w:basedOn w:val="Normal"/>
    <w:uiPriority w:val="14"/>
    <w:qFormat/>
    <w:rsid w:val="00972295"/>
    <w:pPr>
      <w:spacing w:before="120" w:after="120"/>
      <w:ind w:left="425" w:firstLine="142"/>
    </w:pPr>
    <w:rPr>
      <w:sz w:val="20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97229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97229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972295"/>
  </w:style>
  <w:style w:type="paragraph" w:customStyle="1" w:styleId="JuParaSub">
    <w:name w:val="Ju_Para_Sub"/>
    <w:basedOn w:val="ECHRPara"/>
    <w:uiPriority w:val="13"/>
    <w:qFormat/>
    <w:rsid w:val="00972295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97229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97229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972295"/>
  </w:style>
  <w:style w:type="paragraph" w:customStyle="1" w:styleId="ECHRTitle1">
    <w:name w:val="ECHR_Title_1"/>
    <w:aliases w:val="Ju_H_Head,Title_L_1"/>
    <w:basedOn w:val="Normal"/>
    <w:next w:val="ECHRPara"/>
    <w:uiPriority w:val="18"/>
    <w:qFormat/>
    <w:rsid w:val="0097229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972295"/>
  </w:style>
  <w:style w:type="paragraph" w:customStyle="1" w:styleId="JuSigned">
    <w:name w:val="Ju_Signed"/>
    <w:basedOn w:val="Normal"/>
    <w:next w:val="JuParaLast"/>
    <w:uiPriority w:val="32"/>
    <w:qFormat/>
    <w:rsid w:val="00972295"/>
    <w:pPr>
      <w:tabs>
        <w:tab w:val="center" w:pos="851"/>
        <w:tab w:val="center" w:pos="6407"/>
      </w:tabs>
      <w:spacing w:before="720"/>
      <w:jc w:val="lef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97229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7229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QuotSub">
    <w:name w:val="Opi_Quot_Sub"/>
    <w:basedOn w:val="JuQuotSub"/>
    <w:uiPriority w:val="49"/>
    <w:qFormat/>
    <w:rsid w:val="00972295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972295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97229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QuotSub">
    <w:name w:val="Ju_Quot_Sub"/>
    <w:basedOn w:val="ECHRParaQuote"/>
    <w:uiPriority w:val="15"/>
    <w:qFormat/>
    <w:rsid w:val="0097229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972295"/>
    <w:pPr>
      <w:tabs>
        <w:tab w:val="center" w:pos="6407"/>
      </w:tabs>
      <w:spacing w:before="720"/>
      <w:jc w:val="right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97229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97229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97229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97229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97229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97229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97229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97229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7229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97229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972295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7229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OpiHA">
    <w:name w:val="Opi_H_A"/>
    <w:basedOn w:val="ECHRHeading1"/>
    <w:next w:val="OpiPara"/>
    <w:uiPriority w:val="41"/>
    <w:qFormat/>
    <w:rsid w:val="00972295"/>
    <w:pPr>
      <w:tabs>
        <w:tab w:val="clear" w:pos="357"/>
      </w:tabs>
      <w:outlineLvl w:val="1"/>
    </w:pPr>
    <w:rPr>
      <w:b/>
    </w:rPr>
  </w:style>
  <w:style w:type="paragraph" w:customStyle="1" w:styleId="JuList">
    <w:name w:val="Ju_List"/>
    <w:basedOn w:val="Normal"/>
    <w:uiPriority w:val="28"/>
    <w:qFormat/>
    <w:rsid w:val="00972295"/>
    <w:pPr>
      <w:ind w:left="340" w:hanging="340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97229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Lista">
    <w:name w:val="Ju_List_a"/>
    <w:basedOn w:val="JuList"/>
    <w:uiPriority w:val="28"/>
    <w:qFormat/>
    <w:rsid w:val="00972295"/>
    <w:pPr>
      <w:ind w:left="346" w:firstLine="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97229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i">
    <w:name w:val="Ju_List_i"/>
    <w:basedOn w:val="Normal"/>
    <w:next w:val="JuLista"/>
    <w:uiPriority w:val="28"/>
    <w:qFormat/>
    <w:rsid w:val="00972295"/>
    <w:pPr>
      <w:ind w:left="794"/>
    </w:pPr>
  </w:style>
  <w:style w:type="character" w:customStyle="1" w:styleId="JUNAMES">
    <w:name w:val="JU_NAMES"/>
    <w:uiPriority w:val="17"/>
    <w:qFormat/>
    <w:rsid w:val="00972295"/>
    <w:rPr>
      <w:caps w:val="0"/>
      <w:smallCaps/>
    </w:rPr>
  </w:style>
  <w:style w:type="character" w:styleId="SubtleEmphasis">
    <w:name w:val="Subtle Emphasis"/>
    <w:uiPriority w:val="99"/>
    <w:semiHidden/>
    <w:qFormat/>
    <w:rsid w:val="00972295"/>
    <w:rPr>
      <w:i/>
      <w:iCs/>
    </w:rPr>
  </w:style>
  <w:style w:type="character" w:customStyle="1" w:styleId="JuITMark">
    <w:name w:val="Ju_ITMark"/>
    <w:basedOn w:val="DefaultParagraphFont"/>
    <w:uiPriority w:val="38"/>
    <w:qFormat/>
    <w:rsid w:val="00972295"/>
    <w:rPr>
      <w:vanish w:val="0"/>
      <w:color w:val="auto"/>
      <w:sz w:val="14"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Translation">
    <w:name w:val="Opi_Translation"/>
    <w:basedOn w:val="Normal"/>
    <w:next w:val="OpiPara"/>
    <w:uiPriority w:val="40"/>
    <w:qFormat/>
    <w:rsid w:val="00972295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972295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7229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styleId="Emphasis">
    <w:name w:val="Emphasis"/>
    <w:uiPriority w:val="99"/>
    <w:semiHidden/>
    <w:qFormat/>
    <w:rsid w:val="009722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97229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97229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9722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22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29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7229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7229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7229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7229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7229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7229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722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7229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7229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7229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7229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7229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972295"/>
    <w:rPr>
      <w:smallCaps/>
    </w:rPr>
  </w:style>
  <w:style w:type="table" w:styleId="TableGrid">
    <w:name w:val="Table Grid"/>
    <w:basedOn w:val="TableNormal"/>
    <w:uiPriority w:val="59"/>
    <w:semiHidden/>
    <w:rsid w:val="0097229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97229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97229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97229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97229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97229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97229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97229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7229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2D2C99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2D2C99"/>
    <w:pPr>
      <w:numPr>
        <w:numId w:val="3"/>
      </w:numPr>
    </w:pPr>
  </w:style>
  <w:style w:type="paragraph" w:customStyle="1" w:styleId="ECHRPara">
    <w:name w:val="ECHR_Para"/>
    <w:aliases w:val="Ju_Para"/>
    <w:basedOn w:val="Normal"/>
    <w:uiPriority w:val="12"/>
    <w:qFormat/>
    <w:rsid w:val="00972295"/>
    <w:pPr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2D2C99"/>
    <w:pPr>
      <w:numPr>
        <w:numId w:val="4"/>
      </w:numPr>
    </w:p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2D2C99"/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97229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lockText">
    <w:name w:val="Block Text"/>
    <w:basedOn w:val="Normal"/>
    <w:uiPriority w:val="99"/>
    <w:semiHidden/>
    <w:rsid w:val="002D2C9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2D2C99"/>
    <w:pPr>
      <w:spacing w:after="120"/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C99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2D2C99"/>
    <w:pPr>
      <w:spacing w:after="120" w:line="480" w:lineRule="auto"/>
    </w:p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97229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972295"/>
    <w:pPr>
      <w:ind w:firstLine="284"/>
    </w:pPr>
    <w:rPr>
      <w:b/>
    </w:rPr>
  </w:style>
  <w:style w:type="character" w:styleId="PageNumber">
    <w:name w:val="page number"/>
    <w:uiPriority w:val="99"/>
    <w:semiHidden/>
    <w:rsid w:val="002D2C99"/>
    <w:rPr>
      <w:rFonts w:ascii="Times New Roman" w:hAnsi="Times New Roman" w:cs="Times New Roman"/>
      <w:sz w:val="18"/>
    </w:rPr>
  </w:style>
  <w:style w:type="paragraph" w:styleId="ListBullet2">
    <w:name w:val="List Bullet 2"/>
    <w:basedOn w:val="Normal"/>
    <w:uiPriority w:val="99"/>
    <w:semiHidden/>
    <w:rsid w:val="002D2C99"/>
    <w:pPr>
      <w:numPr>
        <w:numId w:val="1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2C99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2C99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D2C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C99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2C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C99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D2C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C99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D2C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C99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C99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2D2C99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D2C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C99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D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99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D2C99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D2C99"/>
  </w:style>
  <w:style w:type="character" w:customStyle="1" w:styleId="DateChar">
    <w:name w:val="Date Char"/>
    <w:basedOn w:val="DefaultParagraphFont"/>
    <w:link w:val="Date"/>
    <w:uiPriority w:val="99"/>
    <w:semiHidden/>
    <w:rsid w:val="002D2C99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C99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D2C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C99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2D2C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D2C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C99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2D2C9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D2C99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D2C99"/>
  </w:style>
  <w:style w:type="paragraph" w:styleId="HTMLAddress">
    <w:name w:val="HTML Address"/>
    <w:basedOn w:val="Normal"/>
    <w:link w:val="HTMLAddressChar"/>
    <w:uiPriority w:val="99"/>
    <w:semiHidden/>
    <w:rsid w:val="002D2C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C99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2D2C99"/>
    <w:rPr>
      <w:i/>
      <w:iCs/>
    </w:rPr>
  </w:style>
  <w:style w:type="character" w:styleId="HTMLCode">
    <w:name w:val="HTML Code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D2C9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D2C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D2C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D2C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D2C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D2C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D2C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D2C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D2C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D2C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D2C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D2C9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D2C9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D2C99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D2C9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D2C99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D2C99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D2C99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D2C99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D2C99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D2C99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D2C99"/>
  </w:style>
  <w:style w:type="paragraph" w:styleId="List">
    <w:name w:val="List"/>
    <w:basedOn w:val="Normal"/>
    <w:uiPriority w:val="99"/>
    <w:semiHidden/>
    <w:rsid w:val="002D2C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D2C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D2C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D2C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D2C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2D2C9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D2C9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D2C9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D2C9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D2C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D2C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D2C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D2C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D2C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D2C9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D2C9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D2C9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D2C9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D2C99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D2C9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D2C99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D2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D2C99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D2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C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D2C99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2D2C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D2C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C99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2D2C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C99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2C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C99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2D2C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C99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2D2C9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2C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2C99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D2C99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2C99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2C99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2C99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2C99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D2C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D2C99"/>
  </w:style>
  <w:style w:type="table" w:styleId="TableProfessional">
    <w:name w:val="Table Professional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2C99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2C99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2C9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D2C99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2C99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2C99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2D2C9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D2C9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D2C9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D2C99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97229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972295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rsid w:val="00972295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97229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97229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97229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972295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DEBAC-DC7D-4BDC-BB31-203E78625CEA}"/>
</file>

<file path=customXml/itemProps2.xml><?xml version="1.0" encoding="utf-8"?>
<ds:datastoreItem xmlns:ds="http://schemas.openxmlformats.org/officeDocument/2006/customXml" ds:itemID="{053FA212-D1CC-4A3F-A3F3-161C0D45CD8A}"/>
</file>

<file path=customXml/itemProps3.xml><?xml version="1.0" encoding="utf-8"?>
<ds:datastoreItem xmlns:ds="http://schemas.openxmlformats.org/officeDocument/2006/customXml" ds:itemID="{85A0C45E-70F2-44AB-A96A-661921BA7299}"/>
</file>

<file path=customXml/itemProps4.xml><?xml version="1.0" encoding="utf-8"?>
<ds:datastoreItem xmlns:ds="http://schemas.openxmlformats.org/officeDocument/2006/customXml" ds:itemID="{F67974CE-5096-49A5-BD96-F6AEDE68E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2015-05-19T08:30:00Z</dcterms:created>
  <dcterms:modified xsi:type="dcterms:W3CDTF">2015-05-19T08:30:00Z</dcterms:modified>
  <cp:category>ECHR Template</cp:category>
</cp:coreProperties>
</file>